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310B" w14:textId="77777777" w:rsidR="0046011B" w:rsidRPr="00474B32" w:rsidRDefault="0046011B" w:rsidP="00474B32">
      <w:pPr>
        <w:spacing w:after="0"/>
        <w:jc w:val="center"/>
        <w:rPr>
          <w:rFonts w:ascii="Times New Roman" w:hAnsi="Times New Roman" w:cs="Times New Roman"/>
          <w:b/>
          <w:bCs/>
          <w:sz w:val="28"/>
          <w:szCs w:val="28"/>
        </w:rPr>
      </w:pPr>
      <w:r w:rsidRPr="00474B32">
        <w:rPr>
          <w:rFonts w:ascii="Times New Roman" w:hAnsi="Times New Roman" w:cs="Times New Roman"/>
          <w:b/>
          <w:bCs/>
          <w:sz w:val="28"/>
          <w:szCs w:val="28"/>
        </w:rPr>
        <w:t>ANNOTATION</w:t>
      </w:r>
    </w:p>
    <w:p w14:paraId="7135D3FD" w14:textId="77777777" w:rsidR="00474B32" w:rsidRPr="00474B32" w:rsidRDefault="00474B32" w:rsidP="00474B32">
      <w:pPr>
        <w:pStyle w:val="p2"/>
        <w:spacing w:before="0" w:beforeAutospacing="0" w:after="0" w:afterAutospacing="0"/>
        <w:jc w:val="center"/>
        <w:rPr>
          <w:b/>
          <w:bCs/>
          <w:sz w:val="28"/>
          <w:szCs w:val="28"/>
        </w:rPr>
      </w:pPr>
      <w:r w:rsidRPr="00474B32">
        <w:rPr>
          <w:b/>
          <w:bCs/>
          <w:sz w:val="28"/>
          <w:szCs w:val="28"/>
        </w:rPr>
        <w:t>of the dissertation submitted for the degree of Doctor of Philosophy (PhD)</w:t>
      </w:r>
    </w:p>
    <w:p w14:paraId="3D32C1CE" w14:textId="4F32002C" w:rsidR="00474B32" w:rsidRPr="002D7514" w:rsidRDefault="00474B32" w:rsidP="00474B32">
      <w:pPr>
        <w:pStyle w:val="p2"/>
        <w:spacing w:before="0" w:beforeAutospacing="0" w:after="0" w:afterAutospacing="0"/>
        <w:jc w:val="center"/>
        <w:rPr>
          <w:b/>
          <w:bCs/>
          <w:sz w:val="28"/>
          <w:szCs w:val="28"/>
          <w:lang w:val="en-US"/>
        </w:rPr>
      </w:pPr>
      <w:r w:rsidRPr="00474B32">
        <w:rPr>
          <w:b/>
          <w:bCs/>
          <w:sz w:val="28"/>
          <w:szCs w:val="28"/>
        </w:rPr>
        <w:t>“Optimization of methodological approaches for studying the accessibility of medicines in the Republic of Kazakhstan”</w:t>
      </w:r>
      <w:r w:rsidRPr="00474B32">
        <w:rPr>
          <w:b/>
          <w:bCs/>
          <w:sz w:val="28"/>
          <w:szCs w:val="28"/>
          <w:lang w:val="en-US"/>
        </w:rPr>
        <w:t xml:space="preserve">, </w:t>
      </w:r>
      <w:r w:rsidRPr="00474B32">
        <w:rPr>
          <w:b/>
          <w:bCs/>
          <w:sz w:val="28"/>
          <w:szCs w:val="28"/>
        </w:rPr>
        <w:t xml:space="preserve">completed by </w:t>
      </w:r>
      <w:r w:rsidR="00460EA2">
        <w:rPr>
          <w:b/>
          <w:bCs/>
          <w:sz w:val="28"/>
          <w:szCs w:val="28"/>
        </w:rPr>
        <w:t>Ibrayeva</w:t>
      </w:r>
      <w:r w:rsidR="00460EA2" w:rsidRPr="00474B32">
        <w:rPr>
          <w:b/>
          <w:bCs/>
          <w:sz w:val="28"/>
          <w:szCs w:val="28"/>
        </w:rPr>
        <w:t xml:space="preserve"> </w:t>
      </w:r>
      <w:r w:rsidRPr="00474B32">
        <w:rPr>
          <w:b/>
          <w:bCs/>
          <w:sz w:val="28"/>
          <w:szCs w:val="28"/>
        </w:rPr>
        <w:t xml:space="preserve">Dinara Yelubayevna in the </w:t>
      </w:r>
      <w:r w:rsidR="00C4348A" w:rsidRPr="00250D7A">
        <w:rPr>
          <w:b/>
          <w:bCs/>
          <w:sz w:val="28"/>
          <w:szCs w:val="28"/>
        </w:rPr>
        <w:t>Educational Program</w:t>
      </w:r>
      <w:r w:rsidRPr="00474B32">
        <w:rPr>
          <w:b/>
          <w:bCs/>
          <w:sz w:val="28"/>
          <w:szCs w:val="28"/>
        </w:rPr>
        <w:t xml:space="preserve"> </w:t>
      </w:r>
      <w:r w:rsidR="002D7514" w:rsidRPr="002D7514">
        <w:rPr>
          <w:b/>
          <w:bCs/>
          <w:sz w:val="28"/>
          <w:szCs w:val="28"/>
          <w:lang w:val="en-US"/>
        </w:rPr>
        <w:t>«</w:t>
      </w:r>
      <w:r w:rsidRPr="00474B32">
        <w:rPr>
          <w:b/>
          <w:bCs/>
          <w:sz w:val="28"/>
          <w:szCs w:val="28"/>
        </w:rPr>
        <w:t>8D10103 –</w:t>
      </w:r>
      <w:r w:rsidR="002D7514" w:rsidRPr="002D7514">
        <w:rPr>
          <w:b/>
          <w:bCs/>
          <w:sz w:val="28"/>
          <w:szCs w:val="28"/>
          <w:lang w:val="en-US"/>
        </w:rPr>
        <w:t xml:space="preserve"> </w:t>
      </w:r>
      <w:r w:rsidRPr="00474B32">
        <w:rPr>
          <w:b/>
          <w:bCs/>
          <w:sz w:val="28"/>
          <w:szCs w:val="28"/>
        </w:rPr>
        <w:t>Public Health</w:t>
      </w:r>
      <w:r w:rsidR="002D7514" w:rsidRPr="002D7514">
        <w:rPr>
          <w:b/>
          <w:bCs/>
          <w:sz w:val="28"/>
          <w:szCs w:val="28"/>
          <w:lang w:val="en-US"/>
        </w:rPr>
        <w:t>»</w:t>
      </w:r>
    </w:p>
    <w:p w14:paraId="2F573B3D" w14:textId="77777777" w:rsidR="00474B32" w:rsidRPr="006E4D7E" w:rsidRDefault="0046011B" w:rsidP="00C85E1B">
      <w:pPr>
        <w:spacing w:after="0"/>
        <w:ind w:firstLine="720"/>
        <w:jc w:val="both"/>
        <w:rPr>
          <w:rFonts w:ascii="Times New Roman" w:hAnsi="Times New Roman" w:cs="Times New Roman"/>
          <w:b/>
          <w:bCs/>
          <w:sz w:val="28"/>
          <w:szCs w:val="28"/>
          <w:lang w:val="en-US"/>
        </w:rPr>
      </w:pPr>
      <w:r w:rsidRPr="0075183C">
        <w:rPr>
          <w:rFonts w:ascii="Times New Roman" w:hAnsi="Times New Roman" w:cs="Times New Roman"/>
          <w:b/>
          <w:bCs/>
          <w:sz w:val="28"/>
          <w:szCs w:val="28"/>
        </w:rPr>
        <w:t>The relevance of the topic</w:t>
      </w:r>
    </w:p>
    <w:p w14:paraId="7624CC7D" w14:textId="77777777"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At the international level, ensuring access to medicines has been recognized as one of the key priorities for achieving the United Nations Sustainable Development Goal 3, which aims to ensure universal health coverage and access to safe, effective, and quality medicines for the population (UN SDG Report, 2019).</w:t>
      </w:r>
    </w:p>
    <w:p w14:paraId="4D1E5182" w14:textId="595F84D9"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In the Address of the President of the Republic of Kazakhstan, Kassym-Jomart Tokayev, “</w:t>
      </w:r>
      <w:r w:rsidR="008259CD" w:rsidRPr="00EA15ED">
        <w:rPr>
          <w:sz w:val="28"/>
          <w:szCs w:val="28"/>
        </w:rPr>
        <w:t>A Fair State</w:t>
      </w:r>
      <w:r w:rsidR="008259CD" w:rsidRPr="0075183C">
        <w:rPr>
          <w:sz w:val="28"/>
          <w:szCs w:val="28"/>
        </w:rPr>
        <w:t>. A united nation. A prosperous society</w:t>
      </w:r>
      <w:r w:rsidRPr="00474B32">
        <w:rPr>
          <w:sz w:val="28"/>
          <w:szCs w:val="28"/>
        </w:rPr>
        <w:t>” (September 1, 2022), it is emphasized that the highest value of the state is the individual, and the creation of conditions for improving the quality of life and health of the population is a strategic objective of the country’s sustainable development (Address of the President of the Republic of Kazakhstan to the Nation, 2022). In this context, access to medicines is considered a key component of an effective healthcare system, directly influencing the level of public health and the social well-being of citizens.</w:t>
      </w:r>
    </w:p>
    <w:p w14:paraId="20F84CFD" w14:textId="548F1084"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Generic</w:t>
      </w:r>
      <w:r w:rsidR="008259CD">
        <w:rPr>
          <w:sz w:val="28"/>
          <w:szCs w:val="28"/>
          <w:lang w:val="en-US"/>
        </w:rPr>
        <w:t>s</w:t>
      </w:r>
      <w:r w:rsidRPr="00474B32">
        <w:rPr>
          <w:sz w:val="28"/>
          <w:szCs w:val="28"/>
        </w:rPr>
        <w:t>, as a cost-effective alternative to originator products, play a particularly important role in the sustainable development of the healthcare system (AAM Report, 2021). However, their rational use may be hindered by a low level of awareness among physicians and patients, which necessitates the assessment of informational accessibility and trust in generics (Mostafa et al., 2021).</w:t>
      </w:r>
    </w:p>
    <w:p w14:paraId="66A89EF6" w14:textId="77777777"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At the same time, challenges related to the physical and economic accessibility of high-cost medicines persist, particularly for the treatment of rare (orphan) diseases, the financing of which reached 94 billion tenge in 2023 (SK-Pharmacy, 2023; Ministry of Health of the Republic of Kazakhstan, 2024). The market availability and pricing levels of orphan medicines remain insufficiently studied, thereby highlighting the need to analyze the physical and economic accessibility of this category of medicines.</w:t>
      </w:r>
    </w:p>
    <w:p w14:paraId="5BA50EE2" w14:textId="77777777"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In the context of a significant financial burden on the healthcare system and the need for rational resource allocation, the development of scientifically grounded methodological approaches to studying access to medicines becomes particularly important. This, in turn, underscores the necessity of optimizing such approaches, taking into account the socio-economic and institutional characteristics of the Republic of Kazakhstan.</w:t>
      </w:r>
    </w:p>
    <w:p w14:paraId="2DE51558" w14:textId="77777777" w:rsidR="00474B32" w:rsidRPr="00474B32" w:rsidRDefault="00474B32" w:rsidP="00474B32">
      <w:pPr>
        <w:pStyle w:val="p1"/>
        <w:spacing w:before="0" w:beforeAutospacing="0" w:after="0" w:afterAutospacing="0"/>
        <w:ind w:firstLine="709"/>
        <w:jc w:val="both"/>
        <w:rPr>
          <w:sz w:val="28"/>
          <w:szCs w:val="28"/>
        </w:rPr>
      </w:pPr>
      <w:r w:rsidRPr="00474B32">
        <w:rPr>
          <w:sz w:val="28"/>
          <w:szCs w:val="28"/>
        </w:rPr>
        <w:t>Thus, the optimization of methodological approaches to studying access to medicines represents not only a scientific objective but also a practical necessity aimed at improving the mechanisms of medicine provision to the population in accordance with national priorities and global sustainable development goals.</w:t>
      </w:r>
    </w:p>
    <w:p w14:paraId="230995E8" w14:textId="2D6EC88D" w:rsidR="0084579C" w:rsidRPr="0084579C" w:rsidRDefault="0084579C" w:rsidP="0084579C">
      <w:pPr>
        <w:pStyle w:val="p1"/>
        <w:spacing w:before="0" w:beforeAutospacing="0" w:after="0" w:afterAutospacing="0"/>
        <w:jc w:val="both"/>
        <w:rPr>
          <w:sz w:val="28"/>
          <w:szCs w:val="28"/>
          <w:lang w:val="en-US"/>
        </w:rPr>
      </w:pPr>
      <w:r w:rsidRPr="0084579C">
        <w:rPr>
          <w:sz w:val="28"/>
          <w:szCs w:val="28"/>
        </w:rPr>
        <w:t>The purpose of the study is the scientific substantiation of the optimization of methodological approaches to the assessment of access to medicines and the development of recommendations for the population of the Republic of Kazakhstan</w:t>
      </w:r>
      <w:r w:rsidRPr="0084579C">
        <w:rPr>
          <w:sz w:val="28"/>
          <w:szCs w:val="28"/>
          <w:lang w:val="en-US"/>
        </w:rPr>
        <w:t>.</w:t>
      </w:r>
    </w:p>
    <w:p w14:paraId="2A45C248" w14:textId="6DDDD8E1" w:rsidR="00745A1B" w:rsidRPr="00745A1B" w:rsidRDefault="00695881" w:rsidP="00F327E9">
      <w:pPr>
        <w:spacing w:after="0"/>
        <w:ind w:firstLine="720"/>
        <w:jc w:val="both"/>
        <w:rPr>
          <w:rFonts w:ascii="Times New Roman" w:hAnsi="Times New Roman" w:cs="Times New Roman"/>
          <w:sz w:val="28"/>
          <w:szCs w:val="28"/>
        </w:rPr>
      </w:pPr>
      <w:r w:rsidRPr="0075183C">
        <w:rPr>
          <w:rFonts w:ascii="Times New Roman" w:hAnsi="Times New Roman" w:cs="Times New Roman"/>
          <w:b/>
          <w:bCs/>
          <w:sz w:val="28"/>
          <w:szCs w:val="28"/>
        </w:rPr>
        <w:t>Research objectives</w:t>
      </w:r>
    </w:p>
    <w:p w14:paraId="36FCFDE8" w14:textId="77777777" w:rsidR="000B3A1F" w:rsidRPr="000B3A1F" w:rsidRDefault="000B3A1F" w:rsidP="00A824E8">
      <w:pPr>
        <w:pStyle w:val="p1"/>
        <w:numPr>
          <w:ilvl w:val="0"/>
          <w:numId w:val="17"/>
        </w:numPr>
        <w:tabs>
          <w:tab w:val="clear" w:pos="720"/>
          <w:tab w:val="num" w:pos="142"/>
        </w:tabs>
        <w:spacing w:before="0" w:beforeAutospacing="0" w:after="0" w:afterAutospacing="0"/>
        <w:ind w:left="0" w:firstLine="709"/>
        <w:jc w:val="both"/>
        <w:rPr>
          <w:sz w:val="28"/>
          <w:szCs w:val="28"/>
        </w:rPr>
      </w:pPr>
      <w:r w:rsidRPr="000B3A1F">
        <w:rPr>
          <w:sz w:val="28"/>
          <w:szCs w:val="28"/>
        </w:rPr>
        <w:lastRenderedPageBreak/>
        <w:t>To examine the current state of existing methodological approaches to assessing access to medicines at both global and national levels.</w:t>
      </w:r>
    </w:p>
    <w:p w14:paraId="22A57EE1" w14:textId="77777777" w:rsidR="000B3A1F" w:rsidRPr="000B3A1F" w:rsidRDefault="000B3A1F" w:rsidP="00A824E8">
      <w:pPr>
        <w:pStyle w:val="p1"/>
        <w:numPr>
          <w:ilvl w:val="0"/>
          <w:numId w:val="17"/>
        </w:numPr>
        <w:tabs>
          <w:tab w:val="clear" w:pos="720"/>
          <w:tab w:val="num" w:pos="142"/>
        </w:tabs>
        <w:spacing w:before="0" w:beforeAutospacing="0" w:after="0" w:afterAutospacing="0"/>
        <w:ind w:left="0" w:firstLine="709"/>
        <w:jc w:val="both"/>
        <w:rPr>
          <w:sz w:val="28"/>
          <w:szCs w:val="28"/>
        </w:rPr>
      </w:pPr>
      <w:r w:rsidRPr="000B3A1F">
        <w:rPr>
          <w:sz w:val="28"/>
          <w:szCs w:val="28"/>
        </w:rPr>
        <w:t>To provide a theoretical justification for the optimization of methodological approaches to studying access to medicines.</w:t>
      </w:r>
    </w:p>
    <w:p w14:paraId="42015029" w14:textId="77777777" w:rsidR="000B3A1F" w:rsidRPr="000B3A1F" w:rsidRDefault="000B3A1F" w:rsidP="00A824E8">
      <w:pPr>
        <w:pStyle w:val="p1"/>
        <w:numPr>
          <w:ilvl w:val="0"/>
          <w:numId w:val="17"/>
        </w:numPr>
        <w:tabs>
          <w:tab w:val="clear" w:pos="720"/>
          <w:tab w:val="num" w:pos="142"/>
        </w:tabs>
        <w:spacing w:before="0" w:beforeAutospacing="0" w:after="0" w:afterAutospacing="0"/>
        <w:ind w:left="0" w:firstLine="709"/>
        <w:jc w:val="both"/>
        <w:rPr>
          <w:sz w:val="28"/>
          <w:szCs w:val="28"/>
        </w:rPr>
      </w:pPr>
      <w:r w:rsidRPr="000B3A1F">
        <w:rPr>
          <w:sz w:val="28"/>
          <w:szCs w:val="28"/>
        </w:rPr>
        <w:t>To assess and determine the level of awareness among physicians and patients regarding generic medicines.</w:t>
      </w:r>
    </w:p>
    <w:p w14:paraId="476D073E" w14:textId="77777777" w:rsidR="000B3A1F" w:rsidRPr="000B3A1F" w:rsidRDefault="000B3A1F" w:rsidP="00A824E8">
      <w:pPr>
        <w:pStyle w:val="p1"/>
        <w:numPr>
          <w:ilvl w:val="0"/>
          <w:numId w:val="17"/>
        </w:numPr>
        <w:tabs>
          <w:tab w:val="clear" w:pos="720"/>
          <w:tab w:val="num" w:pos="142"/>
        </w:tabs>
        <w:spacing w:before="0" w:beforeAutospacing="0" w:after="0" w:afterAutospacing="0"/>
        <w:ind w:left="0" w:firstLine="709"/>
        <w:jc w:val="both"/>
        <w:rPr>
          <w:sz w:val="28"/>
          <w:szCs w:val="28"/>
        </w:rPr>
      </w:pPr>
      <w:r w:rsidRPr="000B3A1F">
        <w:rPr>
          <w:sz w:val="28"/>
          <w:szCs w:val="28"/>
        </w:rPr>
        <w:t>To analyze the physical and economic accessibility of medicines using orphan disease treatments as a case study.</w:t>
      </w:r>
    </w:p>
    <w:p w14:paraId="3CBBA0E7" w14:textId="77777777" w:rsidR="000B3A1F" w:rsidRPr="000B3A1F" w:rsidRDefault="000B3A1F" w:rsidP="00A824E8">
      <w:pPr>
        <w:pStyle w:val="p1"/>
        <w:numPr>
          <w:ilvl w:val="0"/>
          <w:numId w:val="17"/>
        </w:numPr>
        <w:tabs>
          <w:tab w:val="clear" w:pos="720"/>
          <w:tab w:val="num" w:pos="142"/>
        </w:tabs>
        <w:spacing w:before="0" w:beforeAutospacing="0" w:after="0" w:afterAutospacing="0"/>
        <w:ind w:left="0" w:firstLine="709"/>
        <w:jc w:val="both"/>
        <w:rPr>
          <w:sz w:val="28"/>
          <w:szCs w:val="28"/>
        </w:rPr>
      </w:pPr>
      <w:r w:rsidRPr="000B3A1F">
        <w:rPr>
          <w:sz w:val="28"/>
          <w:szCs w:val="28"/>
        </w:rPr>
        <w:t>To develop recommendations aimed at improving access to medicines for the population of the Republic of Kazakhstan.</w:t>
      </w:r>
    </w:p>
    <w:p w14:paraId="276ABD6D" w14:textId="0FA95497" w:rsidR="00695881" w:rsidRPr="0075183C" w:rsidRDefault="00695881" w:rsidP="0075183C">
      <w:pPr>
        <w:spacing w:after="0"/>
        <w:ind w:firstLine="720"/>
        <w:jc w:val="both"/>
        <w:rPr>
          <w:rFonts w:ascii="Times New Roman" w:hAnsi="Times New Roman" w:cs="Times New Roman"/>
          <w:sz w:val="28"/>
          <w:szCs w:val="28"/>
        </w:rPr>
      </w:pPr>
      <w:r w:rsidRPr="0075183C">
        <w:rPr>
          <w:rFonts w:ascii="Times New Roman" w:hAnsi="Times New Roman" w:cs="Times New Roman"/>
          <w:b/>
          <w:bCs/>
          <w:sz w:val="28"/>
          <w:szCs w:val="28"/>
        </w:rPr>
        <w:t>Materials and methods of research</w:t>
      </w:r>
    </w:p>
    <w:p w14:paraId="782172BD" w14:textId="77777777" w:rsidR="00502442" w:rsidRPr="00502442" w:rsidRDefault="00502442" w:rsidP="00502442">
      <w:pPr>
        <w:pStyle w:val="p1"/>
        <w:numPr>
          <w:ilvl w:val="0"/>
          <w:numId w:val="18"/>
        </w:numPr>
        <w:tabs>
          <w:tab w:val="clear" w:pos="720"/>
          <w:tab w:val="num" w:pos="142"/>
        </w:tabs>
        <w:spacing w:before="0" w:beforeAutospacing="0" w:after="0" w:afterAutospacing="0"/>
        <w:ind w:left="0" w:firstLine="709"/>
        <w:jc w:val="both"/>
        <w:rPr>
          <w:sz w:val="28"/>
          <w:szCs w:val="28"/>
        </w:rPr>
      </w:pPr>
      <w:r w:rsidRPr="00502442">
        <w:rPr>
          <w:sz w:val="28"/>
          <w:szCs w:val="28"/>
        </w:rPr>
        <w:t>A literature review was conducted with an analysis of data from published studies indexed in leading international bibliographic and full-text databases, including MEDLINE (PubMed), ProQuest, Cochrane Library, ClinicalTrials.gov, Web of Science, EMBASE, Springer, and Elsevier.</w:t>
      </w:r>
    </w:p>
    <w:p w14:paraId="363BB3A6" w14:textId="77777777" w:rsidR="00502442" w:rsidRPr="00502442" w:rsidRDefault="00502442" w:rsidP="00502442">
      <w:pPr>
        <w:pStyle w:val="p1"/>
        <w:numPr>
          <w:ilvl w:val="0"/>
          <w:numId w:val="18"/>
        </w:numPr>
        <w:tabs>
          <w:tab w:val="clear" w:pos="720"/>
          <w:tab w:val="num" w:pos="142"/>
        </w:tabs>
        <w:spacing w:before="0" w:beforeAutospacing="0" w:after="0" w:afterAutospacing="0"/>
        <w:ind w:left="0" w:firstLine="709"/>
        <w:jc w:val="both"/>
        <w:rPr>
          <w:sz w:val="28"/>
          <w:szCs w:val="28"/>
        </w:rPr>
      </w:pPr>
      <w:r w:rsidRPr="00502442">
        <w:rPr>
          <w:sz w:val="28"/>
          <w:szCs w:val="28"/>
        </w:rPr>
        <w:t>To assess physicians’ awareness of and attitudes toward generic medicines, a cross-cultural adaptation and psychometric validation of the questionnaire developed by Chua et al. were performed. The adaptation followed international guidelines (forward–backward translation) and included forward and backward translation, expert evaluation of content validity (Content Validity Index, CVI), and pilot testing. Psychometric validation was carried out using confirmatory factor analysis (CFA) in the Jamovi analytical environment with the SEM module. A two-factor model including the latent constructs “Awareness” and “Attitude” was tested. Standardized factor loadings, factor covariance, and model fit indices (χ²/df, CFI, TLI, RMSEA, SRMR) were assessed in accordance with established structural equation modeling criteria.</w:t>
      </w:r>
    </w:p>
    <w:p w14:paraId="43391ED8"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To assess patients’ awareness of generics, a questionnaire developed by F. Mattioli et al. and approved by the Italian Medicines Agency (AIFA) was adapted. Similar linguistic adaptation procedures were applied, consistent with those used in the validation of the physicians’ questionnaire (forward and backward translation).</w:t>
      </w:r>
    </w:p>
    <w:p w14:paraId="02EEEFBE"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To evaluate physical (assortment-based) accessibility, the WHO/HAI methodological approach, based on comparing available medicines with a reference list, was optimized. Taking into account the specific features of orphan drug provision in the Republic of Kazakhstan, methodological modifications included refinement of the object of analysis, expansion of the comparative framework, application of multi-level analysis, and clarification of assessment criteria.</w:t>
      </w:r>
    </w:p>
    <w:p w14:paraId="18F4C255"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For the analysis of economic accessibility of medicines used in the treatment of orphan diseases, the price component of the WHO/HAI methodology was optimized. The methodological modifications included refinement of the object of analysis, replacement of the source of reference prices, optimization of the approach to comparing procurement and international prices, and revision of price accessibility criteria.</w:t>
      </w:r>
    </w:p>
    <w:p w14:paraId="00CFEE25" w14:textId="77777777" w:rsidR="00502442" w:rsidRPr="00502442" w:rsidRDefault="00502442" w:rsidP="00502442">
      <w:pPr>
        <w:pStyle w:val="p1"/>
        <w:numPr>
          <w:ilvl w:val="0"/>
          <w:numId w:val="19"/>
        </w:numPr>
        <w:tabs>
          <w:tab w:val="clear" w:pos="720"/>
          <w:tab w:val="num" w:pos="142"/>
        </w:tabs>
        <w:spacing w:before="0" w:beforeAutospacing="0" w:after="0" w:afterAutospacing="0"/>
        <w:ind w:left="0" w:firstLine="709"/>
        <w:jc w:val="both"/>
        <w:rPr>
          <w:sz w:val="28"/>
          <w:szCs w:val="28"/>
        </w:rPr>
      </w:pPr>
      <w:r w:rsidRPr="00502442">
        <w:rPr>
          <w:sz w:val="28"/>
          <w:szCs w:val="28"/>
        </w:rPr>
        <w:t xml:space="preserve">To assess awareness of generics among physicians and patients, a cross-sectional study was conducted in six regions of Kazakhstan. The study included 450 physicians and 450 patients. The minimum sample size was calculated </w:t>
      </w:r>
      <w:r w:rsidRPr="00502442">
        <w:rPr>
          <w:sz w:val="28"/>
          <w:szCs w:val="28"/>
        </w:rPr>
        <w:lastRenderedPageBreak/>
        <w:t>using the formula for cross-sectional studies (95% confidence interval, 5% margin of error).</w:t>
      </w:r>
    </w:p>
    <w:p w14:paraId="5AE1A0CD"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Statistical analysis was performed using IBM SPSS Statistics 23 and included both descriptive and inferential statistics. Physicians’ age and years of professional experience were converted into categorical variables. Responses related to awareness and attitudes toward generics were aggregated into three groups (“agree,” “neutral,” “disagree”). To identify factors influencing knowledge levels and attitudes toward generics, multivariable logistic regression analysis was applied. Dependent variables were dichotomized by the median into “sufficient” and “insufficient” levels. Statistical significance was assessed using p-values, with calculation of odds ratios (OR) and 95% confidence intervals (CI). The level of statistical significance was set at α = 0.05.</w:t>
      </w:r>
    </w:p>
    <w:p w14:paraId="42B0F846"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For the analysis of patient awareness, variables were presented as absolute (n) and relative (%) frequencies. Group comparisons (aware vs. unaware of generics; users vs. non-users of generics) were performed using the chi-square (χ²) test. Differences were considered statistically significant at p &lt; 0.05.</w:t>
      </w:r>
    </w:p>
    <w:p w14:paraId="5487505B" w14:textId="0DB5F303" w:rsidR="002D760B" w:rsidRPr="00933CE6" w:rsidRDefault="00076C68" w:rsidP="002D760B">
      <w:pPr>
        <w:pStyle w:val="p1"/>
        <w:spacing w:before="0" w:beforeAutospacing="0" w:after="0" w:afterAutospacing="0"/>
        <w:ind w:firstLine="709"/>
        <w:jc w:val="both"/>
        <w:rPr>
          <w:sz w:val="28"/>
          <w:szCs w:val="28"/>
          <w:lang w:val="en-US"/>
        </w:rPr>
      </w:pPr>
      <w:r w:rsidRPr="00076C68">
        <w:rPr>
          <w:sz w:val="28"/>
          <w:szCs w:val="28"/>
          <w:lang w:val="en-US"/>
        </w:rPr>
        <w:t>4</w:t>
      </w:r>
      <w:r w:rsidRPr="00CC7266">
        <w:rPr>
          <w:sz w:val="28"/>
          <w:szCs w:val="28"/>
          <w:lang w:val="en-US"/>
        </w:rPr>
        <w:t xml:space="preserve">. </w:t>
      </w:r>
      <w:r w:rsidR="002D760B" w:rsidRPr="002D760B">
        <w:rPr>
          <w:sz w:val="28"/>
          <w:szCs w:val="28"/>
        </w:rPr>
        <w:t>The analysis of the assortment (physical) availability of medicines intended for the treatment of orphan diseases and included in the list of the Republic of Kazakhstan comprised the assessment of their registration status in Kazakhstan, inclusion in the Kazakhstan National Formulary (KNF) and the List of Outpatient Drug Provision (ADP), as well as their compliance with international practice.</w:t>
      </w:r>
    </w:p>
    <w:p w14:paraId="58B78BE1" w14:textId="18387FDA" w:rsidR="002D760B" w:rsidRPr="00933CE6" w:rsidRDefault="002D760B" w:rsidP="002D760B">
      <w:pPr>
        <w:pStyle w:val="p1"/>
        <w:spacing w:before="0" w:beforeAutospacing="0" w:after="0" w:afterAutospacing="0"/>
        <w:jc w:val="both"/>
        <w:rPr>
          <w:sz w:val="28"/>
          <w:szCs w:val="28"/>
          <w:lang w:val="en-US"/>
        </w:rPr>
      </w:pPr>
      <w:r w:rsidRPr="002D760B">
        <w:rPr>
          <w:sz w:val="28"/>
          <w:szCs w:val="28"/>
        </w:rPr>
        <w:t>The registration status was determined based on the presence of medicines in the State Register of Medicines of the Republic of Kazakhstan (GRLS RK).</w:t>
      </w:r>
    </w:p>
    <w:p w14:paraId="1B7D73B0" w14:textId="54BE3A2D" w:rsidR="00076C68" w:rsidRPr="002D760B" w:rsidRDefault="002D760B" w:rsidP="002D760B">
      <w:pPr>
        <w:pStyle w:val="p1"/>
        <w:spacing w:before="0" w:beforeAutospacing="0" w:after="0" w:afterAutospacing="0"/>
        <w:jc w:val="both"/>
        <w:rPr>
          <w:sz w:val="28"/>
          <w:szCs w:val="28"/>
          <w:lang w:val="en-US"/>
        </w:rPr>
      </w:pPr>
      <w:r w:rsidRPr="002D760B">
        <w:rPr>
          <w:sz w:val="28"/>
          <w:szCs w:val="28"/>
        </w:rPr>
        <w:t xml:space="preserve">Compliance with international practice was assessed based on the presence of orphan designation of medicines in the lists of the </w:t>
      </w:r>
      <w:hyperlink r:id="rId5" w:history="1">
        <w:r w:rsidRPr="002D760B">
          <w:rPr>
            <w:rStyle w:val="s1"/>
            <w:rFonts w:eastAsiaTheme="majorEastAsia"/>
            <w:color w:val="000000" w:themeColor="text1"/>
            <w:sz w:val="28"/>
            <w:szCs w:val="28"/>
          </w:rPr>
          <w:t>EU</w:t>
        </w:r>
      </w:hyperlink>
      <w:r w:rsidRPr="002D760B">
        <w:rPr>
          <w:color w:val="000000" w:themeColor="text1"/>
          <w:sz w:val="28"/>
          <w:szCs w:val="28"/>
        </w:rPr>
        <w:t xml:space="preserve"> </w:t>
      </w:r>
      <w:r w:rsidRPr="002D760B">
        <w:rPr>
          <w:sz w:val="28"/>
          <w:szCs w:val="28"/>
        </w:rPr>
        <w:t>and the</w:t>
      </w:r>
      <w:r w:rsidRPr="002D760B">
        <w:rPr>
          <w:sz w:val="28"/>
          <w:szCs w:val="28"/>
          <w:lang w:val="en-US"/>
        </w:rPr>
        <w:t xml:space="preserve"> </w:t>
      </w:r>
      <w:r>
        <w:rPr>
          <w:sz w:val="28"/>
          <w:szCs w:val="28"/>
          <w:lang w:val="en-US"/>
        </w:rPr>
        <w:t>FDA.</w:t>
      </w:r>
    </w:p>
    <w:p w14:paraId="5AA97B1C" w14:textId="3C7D8F18" w:rsidR="00076C68" w:rsidRPr="00076C68" w:rsidRDefault="00076C68" w:rsidP="003C17C6">
      <w:pPr>
        <w:pStyle w:val="p1"/>
        <w:spacing w:before="0" w:beforeAutospacing="0" w:after="0" w:afterAutospacing="0"/>
        <w:ind w:firstLine="720"/>
        <w:jc w:val="both"/>
        <w:rPr>
          <w:sz w:val="28"/>
          <w:szCs w:val="28"/>
        </w:rPr>
      </w:pPr>
      <w:r w:rsidRPr="00076C68">
        <w:rPr>
          <w:sz w:val="28"/>
          <w:szCs w:val="28"/>
        </w:rPr>
        <w:t>The assessment was conducted using absolute and relative indicators, including the determination of the proportion of medicinal products from the FDA and EMA registries represented in the list of orphan medicinal products of the Republic of Kazakhstan.</w:t>
      </w:r>
      <w:r w:rsidR="003C17C6">
        <w:rPr>
          <w:sz w:val="28"/>
          <w:szCs w:val="28"/>
        </w:rPr>
        <w:t xml:space="preserve"> </w:t>
      </w:r>
      <w:r w:rsidRPr="00076C68">
        <w:rPr>
          <w:sz w:val="28"/>
          <w:szCs w:val="28"/>
        </w:rPr>
        <w:t>Data processing and systematization were carried out using Microsoft Excel 2022 MSO (version 2312, build 16.0.17126.20132).</w:t>
      </w:r>
    </w:p>
    <w:p w14:paraId="3FBFD8D4"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For the price analysis, procurement prices of orphan medicines were compared with reference data from the Pharmaceutical Schedule (New Zealand, 2023–2024). For each medicine, the trade name, International Nonproprietary Name (INN), type (originator or generic), dosage form, strength, and manufacturer were identified.</w:t>
      </w:r>
    </w:p>
    <w:p w14:paraId="6FF5B7FD" w14:textId="77777777" w:rsidR="00502442" w:rsidRPr="00502442" w:rsidRDefault="00502442" w:rsidP="00502442">
      <w:pPr>
        <w:pStyle w:val="p3"/>
        <w:tabs>
          <w:tab w:val="num" w:pos="142"/>
        </w:tabs>
        <w:spacing w:before="0" w:beforeAutospacing="0" w:after="0" w:afterAutospacing="0"/>
        <w:ind w:firstLine="709"/>
        <w:jc w:val="both"/>
        <w:rPr>
          <w:sz w:val="28"/>
          <w:szCs w:val="28"/>
        </w:rPr>
      </w:pPr>
      <w:r w:rsidRPr="00502442">
        <w:rPr>
          <w:sz w:val="28"/>
          <w:szCs w:val="28"/>
        </w:rPr>
        <w:t>Statistical processing included descriptive analysis with calculation of mean values and standard deviations. Data analysis was performed using Microsoft Excel 2022 MSO (Version 2312, Build 16.0.17126.20132).</w:t>
      </w:r>
    </w:p>
    <w:p w14:paraId="40A06111" w14:textId="77777777" w:rsidR="00502442" w:rsidRPr="00502442" w:rsidRDefault="00502442" w:rsidP="00502442">
      <w:pPr>
        <w:pStyle w:val="p1"/>
        <w:numPr>
          <w:ilvl w:val="0"/>
          <w:numId w:val="21"/>
        </w:numPr>
        <w:tabs>
          <w:tab w:val="clear" w:pos="720"/>
          <w:tab w:val="num" w:pos="142"/>
        </w:tabs>
        <w:spacing w:before="0" w:beforeAutospacing="0" w:after="0" w:afterAutospacing="0"/>
        <w:ind w:left="0" w:firstLine="709"/>
        <w:jc w:val="both"/>
        <w:rPr>
          <w:sz w:val="28"/>
          <w:szCs w:val="28"/>
        </w:rPr>
      </w:pPr>
      <w:r w:rsidRPr="00502442">
        <w:rPr>
          <w:sz w:val="28"/>
          <w:szCs w:val="28"/>
        </w:rPr>
        <w:t>Recommendations were developed through analytical synthesis of the study results combined with a comparative analysis of international experience in pharmaceutical provision systems.</w:t>
      </w:r>
    </w:p>
    <w:p w14:paraId="65D69460" w14:textId="03CCB5A2" w:rsidR="00745A1B" w:rsidRPr="00745A1B" w:rsidRDefault="00695881" w:rsidP="00A41D64">
      <w:pPr>
        <w:spacing w:after="0" w:line="240" w:lineRule="auto"/>
        <w:ind w:firstLine="720"/>
        <w:jc w:val="both"/>
        <w:rPr>
          <w:rFonts w:ascii="Times New Roman" w:eastAsia="Times New Roman" w:hAnsi="Times New Roman" w:cs="Times New Roman"/>
          <w:kern w:val="0"/>
          <w:sz w:val="28"/>
          <w:szCs w:val="28"/>
          <w:lang w:eastAsia="ru-KZ"/>
          <w14:ligatures w14:val="none"/>
        </w:rPr>
      </w:pPr>
      <w:r w:rsidRPr="0075183C">
        <w:rPr>
          <w:rFonts w:ascii="Times New Roman" w:hAnsi="Times New Roman" w:cs="Times New Roman"/>
          <w:b/>
          <w:bCs/>
          <w:sz w:val="28"/>
          <w:szCs w:val="28"/>
        </w:rPr>
        <w:t>Scientific novelty</w:t>
      </w:r>
    </w:p>
    <w:p w14:paraId="3C04A815"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t>For the first time in the context of the Republic of Kazakhstan, the following have been accomplished:</w:t>
      </w:r>
    </w:p>
    <w:p w14:paraId="38BA49C8"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lastRenderedPageBreak/>
        <w:t>– psychometric validation of a physicians’ questionnaire based on the instrument developed by Chua et al., with confirmation of its factor structure, reliability, and conceptual validity in both Kazakh and Russian languages;</w:t>
      </w:r>
    </w:p>
    <w:p w14:paraId="5DC337A7"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t>– assessment of the level of awareness of generic medicines among physicians in six regions of Kazakhstan, and identification of factors associated with knowledge levels and attitudes toward generics;</w:t>
      </w:r>
    </w:p>
    <w:p w14:paraId="6009449E"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t>– adaptation of the patient questionnaire developed by F. Mattioli et al., enabling the identification of key barriers to the use of generics both in clinical practice and in patients’ medication choices;</w:t>
      </w:r>
    </w:p>
    <w:p w14:paraId="619F79A3"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t>– development of optimized approaches, based on the WHO/HAI methodology, for assessing the physical (assortment-based) and economic accessibility of medicines used in the treatment of orphan diseases;</w:t>
      </w:r>
    </w:p>
    <w:p w14:paraId="2A4FAF84" w14:textId="77777777" w:rsidR="005A5B19" w:rsidRPr="005A5B19" w:rsidRDefault="005A5B19" w:rsidP="005A5B19">
      <w:pPr>
        <w:pStyle w:val="p1"/>
        <w:spacing w:before="0" w:beforeAutospacing="0" w:after="0" w:afterAutospacing="0"/>
        <w:ind w:firstLine="709"/>
        <w:jc w:val="both"/>
        <w:rPr>
          <w:sz w:val="28"/>
          <w:szCs w:val="28"/>
        </w:rPr>
      </w:pPr>
      <w:r w:rsidRPr="005A5B19">
        <w:rPr>
          <w:sz w:val="28"/>
          <w:szCs w:val="28"/>
        </w:rPr>
        <w:t>– identification of assortment limitations and price disparities in comparison with international reference data.</w:t>
      </w:r>
    </w:p>
    <w:p w14:paraId="275249AC" w14:textId="77777777" w:rsidR="00695881" w:rsidRPr="0075183C" w:rsidRDefault="00695881" w:rsidP="00F327E9">
      <w:pPr>
        <w:spacing w:after="0"/>
        <w:ind w:firstLine="720"/>
        <w:jc w:val="both"/>
        <w:rPr>
          <w:rFonts w:ascii="Times New Roman" w:hAnsi="Times New Roman" w:cs="Times New Roman"/>
          <w:b/>
          <w:bCs/>
          <w:sz w:val="28"/>
          <w:szCs w:val="28"/>
        </w:rPr>
      </w:pPr>
      <w:r w:rsidRPr="0075183C">
        <w:rPr>
          <w:rFonts w:ascii="Times New Roman" w:hAnsi="Times New Roman" w:cs="Times New Roman"/>
          <w:b/>
          <w:bCs/>
          <w:sz w:val="28"/>
          <w:szCs w:val="28"/>
        </w:rPr>
        <w:t>Practical significance of the study</w:t>
      </w:r>
    </w:p>
    <w:p w14:paraId="1309DBAC" w14:textId="77777777" w:rsidR="00BC4390" w:rsidRPr="00BC4390" w:rsidRDefault="00BC4390" w:rsidP="00BC4390">
      <w:pPr>
        <w:pStyle w:val="p1"/>
        <w:spacing w:before="0" w:beforeAutospacing="0" w:after="0" w:afterAutospacing="0"/>
        <w:ind w:firstLine="709"/>
        <w:jc w:val="both"/>
        <w:rPr>
          <w:sz w:val="28"/>
          <w:szCs w:val="28"/>
        </w:rPr>
      </w:pPr>
      <w:r w:rsidRPr="00BC4390">
        <w:rPr>
          <w:sz w:val="28"/>
          <w:szCs w:val="28"/>
        </w:rPr>
        <w:t>The results of the study have practical significance and may be used in the activities of healthcare authorities, regulatory and expert organizations, as well as medical and pharmaceutical institutions of the Republic of Kazakhstan.</w:t>
      </w:r>
    </w:p>
    <w:p w14:paraId="4FC0D22E" w14:textId="77777777" w:rsidR="00BC4390" w:rsidRPr="00BC4390" w:rsidRDefault="00BC4390" w:rsidP="00BC4390">
      <w:pPr>
        <w:pStyle w:val="p1"/>
        <w:spacing w:before="0" w:beforeAutospacing="0" w:after="0" w:afterAutospacing="0"/>
        <w:ind w:firstLine="709"/>
        <w:jc w:val="both"/>
        <w:rPr>
          <w:sz w:val="28"/>
          <w:szCs w:val="28"/>
        </w:rPr>
      </w:pPr>
      <w:r w:rsidRPr="00BC4390">
        <w:rPr>
          <w:sz w:val="28"/>
          <w:szCs w:val="28"/>
        </w:rPr>
        <w:t>The optimized methodological approaches to assessing access to medicines may be applied in analytical and expert studies in the field of pharmaceutical provision.</w:t>
      </w:r>
    </w:p>
    <w:p w14:paraId="0918C211" w14:textId="77777777" w:rsidR="00BC4390" w:rsidRPr="00BC4390" w:rsidRDefault="00BC4390" w:rsidP="00BC4390">
      <w:pPr>
        <w:pStyle w:val="p1"/>
        <w:spacing w:before="0" w:beforeAutospacing="0" w:after="0" w:afterAutospacing="0"/>
        <w:ind w:firstLine="709"/>
        <w:jc w:val="both"/>
        <w:rPr>
          <w:sz w:val="28"/>
          <w:szCs w:val="28"/>
        </w:rPr>
      </w:pPr>
      <w:r w:rsidRPr="00BC4390">
        <w:rPr>
          <w:sz w:val="28"/>
          <w:szCs w:val="28"/>
        </w:rPr>
        <w:t>The scientifically grounded recommendations formulated on the basis of the study results may serve as a foundation for developing a strategy aimed at improving access to medicines in the Republic of Kazakhstan.</w:t>
      </w:r>
    </w:p>
    <w:p w14:paraId="1A8F9994" w14:textId="161244C5" w:rsidR="00BC4390" w:rsidRPr="00BC4390" w:rsidRDefault="00BC4390" w:rsidP="00BC4390">
      <w:pPr>
        <w:pStyle w:val="p1"/>
        <w:spacing w:before="0" w:beforeAutospacing="0" w:after="0" w:afterAutospacing="0"/>
        <w:ind w:firstLine="709"/>
        <w:jc w:val="both"/>
        <w:rPr>
          <w:sz w:val="28"/>
          <w:szCs w:val="28"/>
        </w:rPr>
      </w:pPr>
      <w:r w:rsidRPr="00BC4390">
        <w:rPr>
          <w:sz w:val="28"/>
          <w:szCs w:val="28"/>
        </w:rPr>
        <w:t>The conducted research and its findings are reflected in the methodological guidelines entitled “The Role of Generic Medicines in Ensuring Equal Access to Medicines for All Patients” and “Monitoring Information on the Safety of Medicines within the Pharmacovigilance System in the Republic of Kazakhstan” (Protocol No. 10 of the Academic Council of the Faculty of Medicine and Healthcare of Al-Farabi KazNU dated June 28, 2024) (Appendix A).The study results have been implemented in the activities of medical and pharmaceutical organizations, as confirmed by 8 implementation acts.</w:t>
      </w:r>
    </w:p>
    <w:p w14:paraId="008C6B69" w14:textId="77777777" w:rsidR="00695881" w:rsidRPr="0075183C" w:rsidRDefault="00695881" w:rsidP="0075183C">
      <w:pPr>
        <w:spacing w:after="0"/>
        <w:ind w:firstLine="720"/>
        <w:jc w:val="both"/>
        <w:rPr>
          <w:rFonts w:ascii="Times New Roman" w:hAnsi="Times New Roman" w:cs="Times New Roman"/>
          <w:b/>
          <w:bCs/>
          <w:sz w:val="28"/>
          <w:szCs w:val="28"/>
        </w:rPr>
      </w:pPr>
      <w:r w:rsidRPr="0075183C">
        <w:rPr>
          <w:rFonts w:ascii="Times New Roman" w:hAnsi="Times New Roman" w:cs="Times New Roman"/>
          <w:b/>
          <w:bCs/>
          <w:sz w:val="28"/>
          <w:szCs w:val="28"/>
        </w:rPr>
        <w:t>The theoretical significance of the work</w:t>
      </w:r>
    </w:p>
    <w:p w14:paraId="70223BAE" w14:textId="77777777" w:rsidR="00BC4390" w:rsidRPr="00BC4390" w:rsidRDefault="00BC4390" w:rsidP="00BC4390">
      <w:pPr>
        <w:pStyle w:val="p1"/>
        <w:tabs>
          <w:tab w:val="left" w:pos="709"/>
        </w:tabs>
        <w:spacing w:before="0" w:beforeAutospacing="0" w:after="0" w:afterAutospacing="0"/>
        <w:ind w:firstLine="709"/>
        <w:jc w:val="both"/>
        <w:rPr>
          <w:sz w:val="28"/>
          <w:szCs w:val="28"/>
        </w:rPr>
      </w:pPr>
      <w:r w:rsidRPr="00BC4390">
        <w:rPr>
          <w:sz w:val="28"/>
          <w:szCs w:val="28"/>
        </w:rPr>
        <w:t>The theoretical significance of the study lies in identifying the influence of social and economic factors on access to medicines in the Republic of Kazakhstan. The research contributes to the development of the concept of improving access to medicines, which, in turn, supports the design of effective strategies for ensuring the population’s access to essential medicines.</w:t>
      </w:r>
    </w:p>
    <w:p w14:paraId="1759D33F" w14:textId="77777777" w:rsidR="00BC4390" w:rsidRPr="00BC4390" w:rsidRDefault="00BC4390" w:rsidP="00BC4390">
      <w:pPr>
        <w:pStyle w:val="p1"/>
        <w:tabs>
          <w:tab w:val="left" w:pos="709"/>
        </w:tabs>
        <w:spacing w:before="0" w:beforeAutospacing="0" w:after="0" w:afterAutospacing="0"/>
        <w:ind w:firstLine="709"/>
        <w:jc w:val="both"/>
        <w:rPr>
          <w:sz w:val="28"/>
          <w:szCs w:val="28"/>
        </w:rPr>
      </w:pPr>
      <w:r w:rsidRPr="00BC4390">
        <w:rPr>
          <w:sz w:val="28"/>
          <w:szCs w:val="28"/>
        </w:rPr>
        <w:t>The study expands the methodological toolkit in the field of access-to-medicines research through the optimization of existing approaches, including the assessment of physicians’ and patients’ awareness of generic medicines, as well as the analysis of assortment-based (physical) and price-based (economic) accessibility using orphan medicines as a case study. The optimized methodological approaches may be applied in future scientific research and in the development of new methodological frameworks for studying access to medicines.</w:t>
      </w:r>
    </w:p>
    <w:p w14:paraId="4E304771" w14:textId="77777777" w:rsidR="00BC4390" w:rsidRPr="00BC4390" w:rsidRDefault="00BC4390" w:rsidP="00BC4390">
      <w:pPr>
        <w:pStyle w:val="p1"/>
        <w:tabs>
          <w:tab w:val="left" w:pos="709"/>
        </w:tabs>
        <w:spacing w:before="0" w:beforeAutospacing="0" w:after="0" w:afterAutospacing="0"/>
        <w:ind w:firstLine="709"/>
        <w:jc w:val="both"/>
        <w:rPr>
          <w:sz w:val="28"/>
          <w:szCs w:val="28"/>
        </w:rPr>
      </w:pPr>
      <w:r w:rsidRPr="00BC4390">
        <w:rPr>
          <w:sz w:val="28"/>
          <w:szCs w:val="28"/>
        </w:rPr>
        <w:lastRenderedPageBreak/>
        <w:t>The findings may also be incorporated into the educational process in the preparation of lecture materials and practical training sessions, thereby contributing to the enhancement of professional competencies in the fields of pharmacy and healthcare.</w:t>
      </w:r>
    </w:p>
    <w:p w14:paraId="039C28F6" w14:textId="5CBD5DE0" w:rsidR="005248D3" w:rsidRPr="0075183C" w:rsidRDefault="00695881" w:rsidP="00872821">
      <w:pPr>
        <w:spacing w:after="0"/>
        <w:ind w:firstLine="720"/>
        <w:jc w:val="both"/>
        <w:rPr>
          <w:rFonts w:ascii="Times New Roman" w:hAnsi="Times New Roman" w:cs="Times New Roman"/>
          <w:b/>
          <w:bCs/>
          <w:sz w:val="28"/>
          <w:szCs w:val="28"/>
        </w:rPr>
      </w:pPr>
      <w:r w:rsidRPr="0075183C">
        <w:rPr>
          <w:rFonts w:ascii="Times New Roman" w:hAnsi="Times New Roman" w:cs="Times New Roman"/>
          <w:b/>
          <w:bCs/>
          <w:sz w:val="28"/>
          <w:szCs w:val="28"/>
        </w:rPr>
        <w:t xml:space="preserve">The main provisions submitted for </w:t>
      </w:r>
      <w:r w:rsidR="00872821">
        <w:rPr>
          <w:rFonts w:ascii="Times New Roman" w:hAnsi="Times New Roman" w:cs="Times New Roman"/>
          <w:b/>
          <w:bCs/>
          <w:sz w:val="28"/>
          <w:szCs w:val="28"/>
          <w:lang w:val="en-US"/>
        </w:rPr>
        <w:t>D</w:t>
      </w:r>
      <w:r w:rsidR="00872821" w:rsidRPr="00872821">
        <w:rPr>
          <w:rFonts w:ascii="Times New Roman" w:hAnsi="Times New Roman" w:cs="Times New Roman"/>
          <w:b/>
          <w:bCs/>
          <w:sz w:val="28"/>
          <w:szCs w:val="28"/>
        </w:rPr>
        <w:t>efense</w:t>
      </w:r>
      <w:r w:rsidRPr="0075183C">
        <w:rPr>
          <w:rFonts w:ascii="Times New Roman" w:hAnsi="Times New Roman" w:cs="Times New Roman"/>
          <w:b/>
          <w:bCs/>
          <w:sz w:val="28"/>
          <w:szCs w:val="28"/>
        </w:rPr>
        <w:t>:</w:t>
      </w:r>
    </w:p>
    <w:p w14:paraId="129C0189" w14:textId="77777777" w:rsidR="006E4D7E" w:rsidRPr="006E4D7E" w:rsidRDefault="006E4D7E" w:rsidP="006E4D7E">
      <w:pPr>
        <w:pStyle w:val="p1"/>
        <w:numPr>
          <w:ilvl w:val="0"/>
          <w:numId w:val="22"/>
        </w:numPr>
        <w:spacing w:before="0" w:beforeAutospacing="0" w:after="0" w:afterAutospacing="0"/>
        <w:ind w:left="142" w:firstLine="567"/>
        <w:jc w:val="both"/>
        <w:rPr>
          <w:sz w:val="28"/>
          <w:szCs w:val="28"/>
        </w:rPr>
      </w:pPr>
      <w:r w:rsidRPr="006E4D7E">
        <w:rPr>
          <w:sz w:val="28"/>
          <w:szCs w:val="28"/>
        </w:rPr>
        <w:t>The analysis of methodological approaches revealed their heterogeneity and fragmentation, as well as the need for adaptation to national conditions.</w:t>
      </w:r>
    </w:p>
    <w:p w14:paraId="05F39268" w14:textId="77777777" w:rsidR="006E4D7E" w:rsidRPr="006E4D7E" w:rsidRDefault="006E4D7E" w:rsidP="006E4D7E">
      <w:pPr>
        <w:pStyle w:val="p1"/>
        <w:numPr>
          <w:ilvl w:val="0"/>
          <w:numId w:val="22"/>
        </w:numPr>
        <w:spacing w:before="0" w:beforeAutospacing="0" w:after="0" w:afterAutospacing="0"/>
        <w:ind w:left="142" w:firstLine="567"/>
        <w:jc w:val="both"/>
        <w:rPr>
          <w:sz w:val="28"/>
          <w:szCs w:val="28"/>
        </w:rPr>
      </w:pPr>
      <w:r w:rsidRPr="006E4D7E">
        <w:rPr>
          <w:sz w:val="28"/>
          <w:szCs w:val="28"/>
        </w:rPr>
        <w:t>Optimized methodological approaches to studying the accessibility of medicines were proposed, including a psychometrically validated questionnaire for assessing physicians’ level of awareness and attitudes toward generic medicines, an adapted questionnaire for patients, as well as optimized approaches to evaluating physical (assortment) and economic (price analysis) accessibility using orphan disease medicines as an example.</w:t>
      </w:r>
    </w:p>
    <w:p w14:paraId="6C4444A5" w14:textId="77777777" w:rsidR="006E4D7E" w:rsidRPr="006E4D7E" w:rsidRDefault="006E4D7E" w:rsidP="006E4D7E">
      <w:pPr>
        <w:pStyle w:val="p1"/>
        <w:numPr>
          <w:ilvl w:val="0"/>
          <w:numId w:val="22"/>
        </w:numPr>
        <w:spacing w:before="0" w:beforeAutospacing="0" w:after="0" w:afterAutospacing="0"/>
        <w:ind w:left="142" w:firstLine="567"/>
        <w:jc w:val="both"/>
        <w:rPr>
          <w:sz w:val="28"/>
          <w:szCs w:val="28"/>
        </w:rPr>
      </w:pPr>
      <w:r w:rsidRPr="006E4D7E">
        <w:rPr>
          <w:sz w:val="28"/>
          <w:szCs w:val="28"/>
        </w:rPr>
        <w:t>The results of the study on the level of awareness of physicians and patients regarding generic medicines demonstrated a limited level of knowledge, which negatively affects informational accessibility and reduces trust in generics.</w:t>
      </w:r>
    </w:p>
    <w:p w14:paraId="7D0DCCD9" w14:textId="15A19B27" w:rsidR="00CC7266" w:rsidRPr="00CC7266" w:rsidRDefault="00CC7266" w:rsidP="00CC7266">
      <w:pPr>
        <w:pStyle w:val="p1"/>
        <w:numPr>
          <w:ilvl w:val="0"/>
          <w:numId w:val="22"/>
        </w:numPr>
        <w:spacing w:before="0" w:beforeAutospacing="0" w:after="0" w:afterAutospacing="0"/>
        <w:ind w:left="142" w:firstLine="567"/>
        <w:jc w:val="both"/>
        <w:rPr>
          <w:sz w:val="28"/>
          <w:szCs w:val="28"/>
        </w:rPr>
      </w:pPr>
      <w:r w:rsidRPr="00CC7266">
        <w:rPr>
          <w:sz w:val="28"/>
          <w:szCs w:val="28"/>
        </w:rPr>
        <w:t>The physical and economic availability of medicinal products for the treatment of orphan diseases remains limited due to incomplete registration of medicines and insufficient coverage within the pharmaceutical provision system. Significant price differences are observed compared to international reference dat</w:t>
      </w:r>
      <w:r w:rsidRPr="00CC7266">
        <w:rPr>
          <w:sz w:val="28"/>
          <w:szCs w:val="28"/>
          <w:lang w:val="en-US"/>
        </w:rPr>
        <w:t>a.</w:t>
      </w:r>
    </w:p>
    <w:p w14:paraId="318CFD17" w14:textId="77777777" w:rsidR="006E4D7E" w:rsidRPr="006E4D7E" w:rsidRDefault="006E4D7E" w:rsidP="006E4D7E">
      <w:pPr>
        <w:pStyle w:val="p1"/>
        <w:numPr>
          <w:ilvl w:val="0"/>
          <w:numId w:val="22"/>
        </w:numPr>
        <w:spacing w:before="0" w:beforeAutospacing="0" w:after="0" w:afterAutospacing="0"/>
        <w:ind w:left="142" w:firstLine="567"/>
        <w:jc w:val="both"/>
        <w:rPr>
          <w:sz w:val="28"/>
          <w:szCs w:val="28"/>
        </w:rPr>
      </w:pPr>
      <w:r w:rsidRPr="006E4D7E">
        <w:rPr>
          <w:sz w:val="28"/>
          <w:szCs w:val="28"/>
        </w:rPr>
        <w:t>Recommendations were developed to improve the accessibility of medicines, including measures aimed at enhancing physicians’ and patients’ awareness of generic medicines, expanding the assortment availability of orphan disease treatments, and optimizing pricing approaches.</w:t>
      </w:r>
    </w:p>
    <w:p w14:paraId="20304ED5" w14:textId="65658CD9" w:rsidR="00745A1B" w:rsidRPr="0075183C" w:rsidRDefault="00695881" w:rsidP="00725EDF">
      <w:pPr>
        <w:spacing w:after="0" w:line="240" w:lineRule="auto"/>
        <w:ind w:firstLine="720"/>
        <w:jc w:val="both"/>
        <w:rPr>
          <w:rFonts w:ascii="Times New Roman" w:hAnsi="Times New Roman" w:cs="Times New Roman"/>
          <w:sz w:val="28"/>
          <w:szCs w:val="28"/>
        </w:rPr>
      </w:pPr>
      <w:r w:rsidRPr="0075183C">
        <w:rPr>
          <w:rFonts w:ascii="Times New Roman" w:hAnsi="Times New Roman" w:cs="Times New Roman"/>
          <w:b/>
          <w:bCs/>
          <w:sz w:val="28"/>
          <w:szCs w:val="28"/>
        </w:rPr>
        <w:t>Approbation of the dissertation</w:t>
      </w:r>
      <w:r w:rsidR="00745A1B" w:rsidRPr="00745A1B">
        <w:rPr>
          <w:rFonts w:ascii="Times New Roman" w:hAnsi="Times New Roman" w:cs="Times New Roman"/>
          <w:sz w:val="28"/>
          <w:szCs w:val="28"/>
        </w:rPr>
        <w:t>:</w:t>
      </w:r>
    </w:p>
    <w:p w14:paraId="722DBFCB" w14:textId="74CAC131" w:rsidR="00695881" w:rsidRPr="0075183C" w:rsidRDefault="004D044A" w:rsidP="0075183C">
      <w:pPr>
        <w:spacing w:after="0"/>
        <w:ind w:firstLine="720"/>
        <w:jc w:val="both"/>
        <w:rPr>
          <w:rFonts w:ascii="Times New Roman" w:hAnsi="Times New Roman" w:cs="Times New Roman"/>
          <w:sz w:val="28"/>
          <w:szCs w:val="28"/>
        </w:rPr>
      </w:pPr>
      <w:r w:rsidRPr="004D044A">
        <w:rPr>
          <w:rFonts w:ascii="Times New Roman" w:hAnsi="Times New Roman" w:cs="Times New Roman"/>
          <w:sz w:val="28"/>
          <w:szCs w:val="28"/>
        </w:rPr>
        <w:t>The main provisions and research findings were presented at:</w:t>
      </w:r>
    </w:p>
    <w:p w14:paraId="6023C655" w14:textId="3CAC773A" w:rsidR="00695881" w:rsidRPr="0075183C" w:rsidRDefault="00695881" w:rsidP="0075183C">
      <w:pPr>
        <w:spacing w:after="0"/>
        <w:ind w:firstLine="720"/>
        <w:jc w:val="both"/>
        <w:rPr>
          <w:rFonts w:ascii="Times New Roman" w:hAnsi="Times New Roman" w:cs="Times New Roman"/>
          <w:sz w:val="28"/>
          <w:szCs w:val="28"/>
        </w:rPr>
      </w:pPr>
      <w:r w:rsidRPr="0075183C">
        <w:rPr>
          <w:rFonts w:ascii="Times New Roman" w:hAnsi="Times New Roman" w:cs="Times New Roman"/>
          <w:sz w:val="28"/>
          <w:szCs w:val="28"/>
        </w:rPr>
        <w:t xml:space="preserve">- 5th Global Public Health Conference – GLOBEHEAL 2022 «Future of Global Health in </w:t>
      </w:r>
      <w:r w:rsidR="00BD2585">
        <w:rPr>
          <w:rFonts w:ascii="Times New Roman" w:hAnsi="Times New Roman" w:cs="Times New Roman"/>
          <w:sz w:val="28"/>
          <w:szCs w:val="28"/>
        </w:rPr>
        <w:t xml:space="preserve">a </w:t>
      </w:r>
      <w:r w:rsidRPr="0075183C">
        <w:rPr>
          <w:rFonts w:ascii="Times New Roman" w:hAnsi="Times New Roman" w:cs="Times New Roman"/>
          <w:sz w:val="28"/>
          <w:szCs w:val="28"/>
        </w:rPr>
        <w:t>changing world» (Sri</w:t>
      </w:r>
      <w:r w:rsidR="002C5F92">
        <w:rPr>
          <w:rFonts w:ascii="Times New Roman" w:hAnsi="Times New Roman" w:cs="Times New Roman"/>
          <w:sz w:val="28"/>
          <w:szCs w:val="28"/>
        </w:rPr>
        <w:t xml:space="preserve"> </w:t>
      </w:r>
      <w:r w:rsidRPr="0075183C">
        <w:rPr>
          <w:rFonts w:ascii="Times New Roman" w:hAnsi="Times New Roman" w:cs="Times New Roman"/>
          <w:sz w:val="28"/>
          <w:szCs w:val="28"/>
        </w:rPr>
        <w:t>Lanka, 2022 –</w:t>
      </w:r>
      <w:r w:rsidR="009B4E75">
        <w:rPr>
          <w:rFonts w:ascii="Times New Roman" w:hAnsi="Times New Roman" w:cs="Times New Roman"/>
          <w:sz w:val="28"/>
          <w:szCs w:val="28"/>
        </w:rPr>
        <w:t xml:space="preserve"> </w:t>
      </w:r>
      <w:r w:rsidRPr="0075183C">
        <w:rPr>
          <w:rFonts w:ascii="Times New Roman" w:hAnsi="Times New Roman" w:cs="Times New Roman"/>
          <w:sz w:val="28"/>
          <w:szCs w:val="28"/>
        </w:rPr>
        <w:t>February</w:t>
      </w:r>
      <w:r w:rsidR="009B4E75">
        <w:rPr>
          <w:rFonts w:ascii="Times New Roman" w:hAnsi="Times New Roman" w:cs="Times New Roman"/>
          <w:sz w:val="28"/>
          <w:szCs w:val="28"/>
        </w:rPr>
        <w:t xml:space="preserve"> </w:t>
      </w:r>
      <w:r w:rsidR="009B4E75" w:rsidRPr="009B4E75">
        <w:rPr>
          <w:rFonts w:ascii="Times New Roman" w:hAnsi="Times New Roman" w:cs="Times New Roman"/>
          <w:sz w:val="28"/>
          <w:szCs w:val="28"/>
        </w:rPr>
        <w:t>24–25</w:t>
      </w:r>
      <w:r w:rsidRPr="0075183C">
        <w:rPr>
          <w:rFonts w:ascii="Times New Roman" w:hAnsi="Times New Roman" w:cs="Times New Roman"/>
          <w:sz w:val="28"/>
          <w:szCs w:val="28"/>
        </w:rPr>
        <w:t>);</w:t>
      </w:r>
    </w:p>
    <w:p w14:paraId="577C8C5C" w14:textId="0D64BDEE" w:rsidR="00695881" w:rsidRPr="0075183C" w:rsidRDefault="00695881" w:rsidP="0075183C">
      <w:pPr>
        <w:spacing w:after="0"/>
        <w:ind w:firstLine="720"/>
        <w:jc w:val="both"/>
        <w:rPr>
          <w:rFonts w:ascii="Times New Roman" w:hAnsi="Times New Roman" w:cs="Times New Roman"/>
          <w:sz w:val="28"/>
          <w:szCs w:val="28"/>
        </w:rPr>
      </w:pPr>
      <w:r w:rsidRPr="0075183C">
        <w:rPr>
          <w:rFonts w:ascii="Times New Roman" w:hAnsi="Times New Roman" w:cs="Times New Roman"/>
          <w:sz w:val="28"/>
          <w:szCs w:val="28"/>
        </w:rPr>
        <w:t>- III Online Conference. «Modern science. Management and standards of scientific research collection of articles and theses» (Prag</w:t>
      </w:r>
      <w:r w:rsidR="002C5F92">
        <w:rPr>
          <w:rFonts w:ascii="Times New Roman" w:hAnsi="Times New Roman" w:cs="Times New Roman"/>
          <w:sz w:val="28"/>
          <w:szCs w:val="28"/>
        </w:rPr>
        <w:t>ue</w:t>
      </w:r>
      <w:r w:rsidRPr="0075183C">
        <w:rPr>
          <w:rFonts w:ascii="Times New Roman" w:hAnsi="Times New Roman" w:cs="Times New Roman"/>
          <w:sz w:val="28"/>
          <w:szCs w:val="28"/>
        </w:rPr>
        <w:t>, 2021 April</w:t>
      </w:r>
      <w:r w:rsidR="004D044A" w:rsidRPr="004D044A">
        <w:rPr>
          <w:rFonts w:ascii="Times New Roman" w:hAnsi="Times New Roman" w:cs="Times New Roman"/>
          <w:sz w:val="28"/>
          <w:szCs w:val="28"/>
        </w:rPr>
        <w:t xml:space="preserve"> 22-23</w:t>
      </w:r>
      <w:r w:rsidRPr="0075183C">
        <w:rPr>
          <w:rFonts w:ascii="Times New Roman" w:hAnsi="Times New Roman" w:cs="Times New Roman"/>
          <w:sz w:val="28"/>
          <w:szCs w:val="28"/>
        </w:rPr>
        <w:t>);</w:t>
      </w:r>
    </w:p>
    <w:p w14:paraId="60218B53" w14:textId="210FD7FE" w:rsidR="00695881" w:rsidRPr="0075183C" w:rsidRDefault="00695881" w:rsidP="0075183C">
      <w:pPr>
        <w:spacing w:after="0"/>
        <w:ind w:firstLine="720"/>
        <w:jc w:val="both"/>
        <w:rPr>
          <w:rFonts w:ascii="Times New Roman" w:hAnsi="Times New Roman" w:cs="Times New Roman"/>
          <w:sz w:val="28"/>
          <w:szCs w:val="28"/>
        </w:rPr>
      </w:pPr>
      <w:r w:rsidRPr="0075183C">
        <w:rPr>
          <w:rFonts w:ascii="Times New Roman" w:hAnsi="Times New Roman" w:cs="Times New Roman"/>
          <w:sz w:val="28"/>
          <w:szCs w:val="28"/>
        </w:rPr>
        <w:t>- XV International Scientific and Practical Conference "ECOLOGY. RADIATION. HEALTH" dedicated to the 30th anniversary of the closure of the Semipalatinsk nuclear test site" (Semey, 2021-</w:t>
      </w:r>
      <w:r w:rsidR="004D044A" w:rsidRPr="004D044A">
        <w:t xml:space="preserve"> </w:t>
      </w:r>
      <w:r w:rsidR="004D044A" w:rsidRPr="004D044A">
        <w:rPr>
          <w:rFonts w:ascii="Times New Roman" w:hAnsi="Times New Roman" w:cs="Times New Roman"/>
          <w:sz w:val="28"/>
          <w:szCs w:val="28"/>
        </w:rPr>
        <w:t xml:space="preserve">August </w:t>
      </w:r>
      <w:r w:rsidRPr="0075183C">
        <w:rPr>
          <w:rFonts w:ascii="Times New Roman" w:hAnsi="Times New Roman" w:cs="Times New Roman"/>
          <w:sz w:val="28"/>
          <w:szCs w:val="28"/>
        </w:rPr>
        <w:t>28);</w:t>
      </w:r>
    </w:p>
    <w:p w14:paraId="7C78083E" w14:textId="77777777" w:rsidR="009B4E75" w:rsidRDefault="005248D3" w:rsidP="0075183C">
      <w:pPr>
        <w:spacing w:after="0"/>
        <w:ind w:firstLine="720"/>
        <w:jc w:val="both"/>
        <w:rPr>
          <w:rStyle w:val="ac"/>
          <w:rFonts w:ascii="Times New Roman" w:hAnsi="Times New Roman" w:cs="Times New Roman"/>
          <w:sz w:val="28"/>
          <w:szCs w:val="28"/>
        </w:rPr>
      </w:pPr>
      <w:r w:rsidRPr="0075183C">
        <w:rPr>
          <w:rStyle w:val="ac"/>
          <w:rFonts w:ascii="Times New Roman" w:hAnsi="Times New Roman" w:cs="Times New Roman"/>
          <w:sz w:val="28"/>
          <w:szCs w:val="28"/>
        </w:rPr>
        <w:t>Personal Contribution of the PhD Candidate</w:t>
      </w:r>
    </w:p>
    <w:p w14:paraId="7D4A4A47" w14:textId="23E132BA" w:rsidR="005248D3" w:rsidRPr="0075183C" w:rsidRDefault="005248D3" w:rsidP="0075183C">
      <w:pPr>
        <w:spacing w:after="0"/>
        <w:ind w:firstLine="720"/>
        <w:jc w:val="both"/>
        <w:rPr>
          <w:rFonts w:ascii="Times New Roman" w:hAnsi="Times New Roman" w:cs="Times New Roman"/>
          <w:sz w:val="28"/>
          <w:szCs w:val="28"/>
        </w:rPr>
      </w:pPr>
      <w:r w:rsidRPr="0075183C">
        <w:rPr>
          <w:rFonts w:ascii="Times New Roman" w:hAnsi="Times New Roman" w:cs="Times New Roman"/>
          <w:sz w:val="28"/>
          <w:szCs w:val="28"/>
        </w:rPr>
        <w:t>The PhD candidate conducted a comprehensive analysis of the literature, collected, processed, and statistically analyzed the obtained results. The author made a significant contribution to the development of methodological recommendations for improving medicine availability. The study results have been reflected in scientific publications and conference presentations, confirming their significance and relevance.</w:t>
      </w:r>
    </w:p>
    <w:p w14:paraId="442A8B53" w14:textId="77777777" w:rsidR="006F396C" w:rsidRPr="0075183C" w:rsidRDefault="006F396C" w:rsidP="0075183C">
      <w:pPr>
        <w:pStyle w:val="Default"/>
        <w:ind w:firstLine="720"/>
        <w:jc w:val="both"/>
        <w:rPr>
          <w:sz w:val="28"/>
          <w:szCs w:val="28"/>
        </w:rPr>
      </w:pPr>
      <w:r w:rsidRPr="0075183C">
        <w:rPr>
          <w:b/>
          <w:bCs/>
          <w:sz w:val="28"/>
          <w:szCs w:val="28"/>
        </w:rPr>
        <w:t xml:space="preserve">Implementation into practice </w:t>
      </w:r>
    </w:p>
    <w:p w14:paraId="2F2FC998" w14:textId="77777777" w:rsidR="006F396C" w:rsidRPr="0075183C" w:rsidRDefault="006F396C" w:rsidP="0075183C">
      <w:pPr>
        <w:pStyle w:val="Default"/>
        <w:ind w:firstLine="720"/>
        <w:jc w:val="both"/>
        <w:rPr>
          <w:sz w:val="28"/>
          <w:szCs w:val="28"/>
        </w:rPr>
      </w:pPr>
      <w:r w:rsidRPr="0075183C">
        <w:rPr>
          <w:sz w:val="28"/>
          <w:szCs w:val="28"/>
        </w:rPr>
        <w:lastRenderedPageBreak/>
        <w:t xml:space="preserve">The results of the dissertation work have been implemented in practical healthcare: </w:t>
      </w:r>
    </w:p>
    <w:p w14:paraId="6BABD36A" w14:textId="77777777" w:rsidR="00CB607B" w:rsidRPr="00076C68" w:rsidRDefault="006F396C" w:rsidP="00CB607B">
      <w:pPr>
        <w:pStyle w:val="Default"/>
        <w:ind w:firstLine="720"/>
        <w:jc w:val="both"/>
        <w:rPr>
          <w:sz w:val="28"/>
          <w:szCs w:val="28"/>
          <w:lang w:val="en-US"/>
        </w:rPr>
      </w:pPr>
      <w:r w:rsidRPr="00CB607B">
        <w:rPr>
          <w:sz w:val="28"/>
          <w:szCs w:val="28"/>
        </w:rPr>
        <w:t xml:space="preserve">1. City polyclinic No. 13 of Almaty city. </w:t>
      </w:r>
    </w:p>
    <w:p w14:paraId="0772316F" w14:textId="16DCDFBF" w:rsidR="006F396C" w:rsidRPr="00CB607B" w:rsidRDefault="006F396C" w:rsidP="00CB607B">
      <w:pPr>
        <w:pStyle w:val="Default"/>
        <w:ind w:firstLine="720"/>
        <w:jc w:val="both"/>
        <w:rPr>
          <w:sz w:val="28"/>
          <w:szCs w:val="28"/>
          <w:lang w:val="en-US"/>
        </w:rPr>
      </w:pPr>
      <w:r w:rsidRPr="00CB607B">
        <w:rPr>
          <w:sz w:val="28"/>
          <w:szCs w:val="28"/>
        </w:rPr>
        <w:t xml:space="preserve">2. </w:t>
      </w:r>
      <w:r w:rsidR="00CB607B" w:rsidRPr="00CB607B">
        <w:rPr>
          <w:sz w:val="28"/>
          <w:szCs w:val="28"/>
        </w:rPr>
        <w:t>Municipal State Enterprise on the Right of Economic Management “City Oncology Center” of the Health Department of Shymkent</w:t>
      </w:r>
      <w:r w:rsidRPr="00CB607B">
        <w:rPr>
          <w:sz w:val="28"/>
          <w:szCs w:val="28"/>
        </w:rPr>
        <w:t xml:space="preserve">. </w:t>
      </w:r>
    </w:p>
    <w:p w14:paraId="42DF1A2F" w14:textId="77777777" w:rsidR="006F396C" w:rsidRPr="00CB607B" w:rsidRDefault="006F396C" w:rsidP="00CB607B">
      <w:pPr>
        <w:pStyle w:val="Default"/>
        <w:ind w:firstLine="720"/>
        <w:jc w:val="both"/>
        <w:rPr>
          <w:sz w:val="28"/>
          <w:szCs w:val="28"/>
        </w:rPr>
      </w:pPr>
      <w:r w:rsidRPr="00CB607B">
        <w:rPr>
          <w:sz w:val="28"/>
          <w:szCs w:val="28"/>
        </w:rPr>
        <w:t xml:space="preserve">3. Pharmidea Kazakhstan Limited Liability Partnership (LLP). </w:t>
      </w:r>
    </w:p>
    <w:p w14:paraId="03FC5305" w14:textId="77777777" w:rsidR="006F396C" w:rsidRPr="00CB607B" w:rsidRDefault="006F396C" w:rsidP="00CB607B">
      <w:pPr>
        <w:pStyle w:val="Default"/>
        <w:ind w:firstLine="720"/>
        <w:jc w:val="both"/>
        <w:rPr>
          <w:sz w:val="28"/>
          <w:szCs w:val="28"/>
        </w:rPr>
      </w:pPr>
      <w:r w:rsidRPr="00CB607B">
        <w:rPr>
          <w:sz w:val="28"/>
          <w:szCs w:val="28"/>
        </w:rPr>
        <w:t xml:space="preserve">4. Individual entrepreneur "Support team" (Annex B). </w:t>
      </w:r>
    </w:p>
    <w:p w14:paraId="0209A769" w14:textId="77777777" w:rsidR="006F396C" w:rsidRPr="0075183C" w:rsidRDefault="006F396C" w:rsidP="0075183C">
      <w:pPr>
        <w:pStyle w:val="Default"/>
        <w:ind w:firstLine="720"/>
        <w:jc w:val="both"/>
        <w:rPr>
          <w:sz w:val="28"/>
          <w:szCs w:val="28"/>
        </w:rPr>
      </w:pPr>
      <w:r w:rsidRPr="0075183C">
        <w:rPr>
          <w:b/>
          <w:bCs/>
          <w:sz w:val="28"/>
          <w:szCs w:val="28"/>
        </w:rPr>
        <w:t xml:space="preserve">Publications on the topic of the dissertation </w:t>
      </w:r>
    </w:p>
    <w:p w14:paraId="47680A49" w14:textId="4CF764D8" w:rsidR="006F396C" w:rsidRPr="0075183C" w:rsidRDefault="005248D3" w:rsidP="0075183C">
      <w:pPr>
        <w:pStyle w:val="Default"/>
        <w:ind w:firstLine="720"/>
        <w:jc w:val="both"/>
        <w:rPr>
          <w:sz w:val="28"/>
          <w:szCs w:val="28"/>
        </w:rPr>
      </w:pPr>
      <w:r w:rsidRPr="0075183C">
        <w:rPr>
          <w:sz w:val="28"/>
          <w:szCs w:val="28"/>
        </w:rPr>
        <w:t xml:space="preserve">A total of </w:t>
      </w:r>
      <w:r w:rsidR="006F396C" w:rsidRPr="0075183C">
        <w:rPr>
          <w:sz w:val="28"/>
          <w:szCs w:val="28"/>
        </w:rPr>
        <w:t>1</w:t>
      </w:r>
      <w:r w:rsidR="003E366E" w:rsidRPr="000A0123">
        <w:rPr>
          <w:sz w:val="28"/>
          <w:szCs w:val="28"/>
          <w:lang w:val="en-US"/>
        </w:rPr>
        <w:t>0</w:t>
      </w:r>
      <w:r w:rsidR="006F396C" w:rsidRPr="0075183C">
        <w:rPr>
          <w:sz w:val="28"/>
          <w:szCs w:val="28"/>
        </w:rPr>
        <w:t xml:space="preserve"> scientific papers have been published on the topic of the dissertation, including: </w:t>
      </w:r>
    </w:p>
    <w:p w14:paraId="7D5F73A0" w14:textId="48CB21E0" w:rsidR="006F396C" w:rsidRPr="0075183C" w:rsidRDefault="006F396C" w:rsidP="0075183C">
      <w:pPr>
        <w:pStyle w:val="Default"/>
        <w:ind w:firstLine="720"/>
        <w:jc w:val="both"/>
        <w:rPr>
          <w:sz w:val="28"/>
          <w:szCs w:val="28"/>
        </w:rPr>
      </w:pPr>
      <w:r w:rsidRPr="0075183C">
        <w:rPr>
          <w:sz w:val="28"/>
          <w:szCs w:val="28"/>
        </w:rPr>
        <w:t xml:space="preserve">– </w:t>
      </w:r>
      <w:r w:rsidR="00CB607B" w:rsidRPr="00CB607B">
        <w:rPr>
          <w:sz w:val="28"/>
          <w:szCs w:val="28"/>
          <w:lang w:val="en-US"/>
        </w:rPr>
        <w:t>2</w:t>
      </w:r>
      <w:r w:rsidRPr="0075183C">
        <w:rPr>
          <w:sz w:val="28"/>
          <w:szCs w:val="28"/>
        </w:rPr>
        <w:t xml:space="preserve"> article</w:t>
      </w:r>
      <w:r w:rsidR="002C5F92">
        <w:rPr>
          <w:sz w:val="28"/>
          <w:szCs w:val="28"/>
          <w:lang w:val="en-US"/>
        </w:rPr>
        <w:t>s</w:t>
      </w:r>
      <w:r w:rsidRPr="0075183C">
        <w:rPr>
          <w:sz w:val="28"/>
          <w:szCs w:val="28"/>
        </w:rPr>
        <w:t xml:space="preserve"> in journals indexed in the Scopus databases; </w:t>
      </w:r>
    </w:p>
    <w:p w14:paraId="51E3C18D" w14:textId="77777777" w:rsidR="006F396C" w:rsidRPr="0075183C" w:rsidRDefault="006F396C" w:rsidP="0075183C">
      <w:pPr>
        <w:pStyle w:val="Default"/>
        <w:ind w:firstLine="720"/>
        <w:jc w:val="both"/>
        <w:rPr>
          <w:sz w:val="28"/>
          <w:szCs w:val="28"/>
        </w:rPr>
      </w:pPr>
      <w:r w:rsidRPr="0075183C">
        <w:rPr>
          <w:sz w:val="28"/>
          <w:szCs w:val="28"/>
        </w:rPr>
        <w:t xml:space="preserve">– 3 articles in journals recommended by the Committee for Quality Assurance in the Field of Science and Higher Education of the Ministry of Science and Higher Education of the Republic of Kazakhstan; </w:t>
      </w:r>
    </w:p>
    <w:p w14:paraId="298524F3" w14:textId="6D3B2675" w:rsidR="006F396C" w:rsidRPr="0075183C" w:rsidRDefault="006F396C" w:rsidP="0075183C">
      <w:pPr>
        <w:pStyle w:val="Default"/>
        <w:ind w:firstLine="720"/>
        <w:jc w:val="both"/>
        <w:rPr>
          <w:sz w:val="28"/>
          <w:szCs w:val="28"/>
        </w:rPr>
      </w:pPr>
      <w:r w:rsidRPr="0075183C">
        <w:rPr>
          <w:sz w:val="28"/>
          <w:szCs w:val="28"/>
        </w:rPr>
        <w:t xml:space="preserve">– </w:t>
      </w:r>
      <w:r w:rsidR="00CB607B" w:rsidRPr="00CB607B">
        <w:rPr>
          <w:sz w:val="28"/>
          <w:szCs w:val="28"/>
          <w:lang w:val="en-US"/>
        </w:rPr>
        <w:t>3</w:t>
      </w:r>
      <w:r w:rsidR="0032419D" w:rsidRPr="0032419D">
        <w:rPr>
          <w:sz w:val="28"/>
          <w:szCs w:val="28"/>
          <w:lang w:val="en-US"/>
        </w:rPr>
        <w:t xml:space="preserve"> </w:t>
      </w:r>
      <w:r w:rsidRPr="0075183C">
        <w:rPr>
          <w:sz w:val="28"/>
          <w:szCs w:val="28"/>
        </w:rPr>
        <w:t xml:space="preserve">theses at international scientific and practical conferences; </w:t>
      </w:r>
    </w:p>
    <w:p w14:paraId="73E7593D" w14:textId="522A38EA" w:rsidR="006F396C" w:rsidRPr="0075183C" w:rsidRDefault="006F396C" w:rsidP="0075183C">
      <w:pPr>
        <w:pStyle w:val="Default"/>
        <w:ind w:firstLine="720"/>
        <w:jc w:val="both"/>
        <w:rPr>
          <w:sz w:val="28"/>
          <w:szCs w:val="28"/>
        </w:rPr>
      </w:pPr>
      <w:r w:rsidRPr="0075183C">
        <w:rPr>
          <w:sz w:val="28"/>
          <w:szCs w:val="28"/>
        </w:rPr>
        <w:t xml:space="preserve">– 2 methodological recommendations (Protocol of the Academic Council of the Faculty of Medicine and Healthcare of Al-Farabi Kazakh National University No. 10 dated 28.06.2024); </w:t>
      </w:r>
    </w:p>
    <w:p w14:paraId="03EF7E96" w14:textId="216F9EC2" w:rsidR="006F396C" w:rsidRPr="0075183C" w:rsidRDefault="006F396C" w:rsidP="0075183C">
      <w:pPr>
        <w:ind w:firstLine="720"/>
        <w:jc w:val="both"/>
        <w:rPr>
          <w:rFonts w:ascii="Times New Roman" w:hAnsi="Times New Roman" w:cs="Times New Roman"/>
          <w:sz w:val="28"/>
          <w:szCs w:val="28"/>
          <w:lang w:val="en-US"/>
        </w:rPr>
      </w:pPr>
      <w:r w:rsidRPr="0075183C">
        <w:rPr>
          <w:rFonts w:ascii="Times New Roman" w:hAnsi="Times New Roman" w:cs="Times New Roman"/>
          <w:sz w:val="28"/>
          <w:szCs w:val="28"/>
        </w:rPr>
        <w:t xml:space="preserve">– </w:t>
      </w:r>
      <w:r w:rsidR="005248D3" w:rsidRPr="0075183C">
        <w:rPr>
          <w:rFonts w:ascii="Times New Roman" w:hAnsi="Times New Roman" w:cs="Times New Roman"/>
          <w:sz w:val="28"/>
          <w:szCs w:val="28"/>
          <w:lang w:val="en-US"/>
        </w:rPr>
        <w:t>3</w:t>
      </w:r>
      <w:r w:rsidRPr="0075183C">
        <w:rPr>
          <w:rFonts w:ascii="Times New Roman" w:hAnsi="Times New Roman" w:cs="Times New Roman"/>
          <w:sz w:val="28"/>
          <w:szCs w:val="28"/>
        </w:rPr>
        <w:t xml:space="preserve"> certificates of state registration of ownership rights to the copyright object No. 3369 dated 13.11.2022, No. 50524 dated 17.10.2024, No. 50525 dated 17.10.2024. </w:t>
      </w:r>
    </w:p>
    <w:p w14:paraId="1B578120" w14:textId="77777777" w:rsidR="00F327E9" w:rsidRDefault="00745A1B" w:rsidP="00F327E9">
      <w:pPr>
        <w:spacing w:after="0"/>
        <w:ind w:firstLine="720"/>
        <w:jc w:val="both"/>
        <w:rPr>
          <w:rFonts w:ascii="Times New Roman" w:hAnsi="Times New Roman" w:cs="Times New Roman"/>
          <w:b/>
          <w:bCs/>
          <w:sz w:val="28"/>
          <w:szCs w:val="28"/>
        </w:rPr>
      </w:pPr>
      <w:r w:rsidRPr="00745A1B">
        <w:rPr>
          <w:rFonts w:ascii="Times New Roman" w:hAnsi="Times New Roman" w:cs="Times New Roman"/>
          <w:b/>
          <w:bCs/>
          <w:sz w:val="28"/>
          <w:szCs w:val="28"/>
        </w:rPr>
        <w:t>Conclusions</w:t>
      </w:r>
    </w:p>
    <w:p w14:paraId="1F937F3E" w14:textId="526FCA43" w:rsidR="00BF736C" w:rsidRPr="00B17AF2" w:rsidRDefault="00BF736C" w:rsidP="00BF736C">
      <w:pPr>
        <w:pStyle w:val="3"/>
        <w:tabs>
          <w:tab w:val="left" w:pos="567"/>
        </w:tabs>
        <w:spacing w:before="0" w:after="0"/>
        <w:ind w:firstLine="709"/>
        <w:jc w:val="both"/>
        <w:rPr>
          <w:rFonts w:ascii="Times New Roman" w:hAnsi="Times New Roman" w:cs="Times New Roman"/>
          <w:color w:val="000000" w:themeColor="text1"/>
        </w:rPr>
      </w:pPr>
      <w:r w:rsidRPr="00B17AF2">
        <w:rPr>
          <w:rFonts w:ascii="Times New Roman" w:hAnsi="Times New Roman" w:cs="Times New Roman"/>
          <w:color w:val="000000" w:themeColor="text1"/>
        </w:rPr>
        <w:t xml:space="preserve">Based on the conducted research, the following </w:t>
      </w:r>
      <w:r w:rsidR="00F027C4" w:rsidRPr="00B17AF2">
        <w:rPr>
          <w:rFonts w:ascii="Times New Roman" w:hAnsi="Times New Roman" w:cs="Times New Roman"/>
          <w:color w:val="000000" w:themeColor="text1"/>
        </w:rPr>
        <w:t xml:space="preserve">conclusions </w:t>
      </w:r>
      <w:r w:rsidRPr="00B17AF2">
        <w:rPr>
          <w:rFonts w:ascii="Times New Roman" w:hAnsi="Times New Roman" w:cs="Times New Roman"/>
          <w:color w:val="000000" w:themeColor="text1"/>
        </w:rPr>
        <w:t>were drawn:</w:t>
      </w:r>
    </w:p>
    <w:p w14:paraId="788537C6" w14:textId="77777777" w:rsidR="00BF736C" w:rsidRPr="00BF736C" w:rsidRDefault="00BF736C" w:rsidP="00BF736C">
      <w:pPr>
        <w:pStyle w:val="p1"/>
        <w:numPr>
          <w:ilvl w:val="0"/>
          <w:numId w:val="24"/>
        </w:numPr>
        <w:tabs>
          <w:tab w:val="left" w:pos="567"/>
        </w:tabs>
        <w:spacing w:before="0" w:beforeAutospacing="0" w:after="0" w:afterAutospacing="0"/>
        <w:ind w:left="0" w:firstLine="709"/>
        <w:jc w:val="both"/>
        <w:rPr>
          <w:sz w:val="28"/>
          <w:szCs w:val="28"/>
        </w:rPr>
      </w:pPr>
      <w:r w:rsidRPr="00BF736C">
        <w:rPr>
          <w:sz w:val="28"/>
          <w:szCs w:val="28"/>
        </w:rPr>
        <w:t>The analysis of publications demonstrated that 96 out of 110 studies (87%) examining perceptions of generic medicines used ad hoc questionnaires, whereas only 14 studies (13%) were based on validated instruments, indicating the need for standardized survey tools. Approximately one-third of studies on medicine accessibility were non-representative, which limits the generalizability of their findings. Despite the widespread use of the WHO/HAI methodology, its application for assessing the accessibility of medicines for the treatment of orphan diseases remains limited, confirming the need to optimize methodological approaches for this category of medicines.</w:t>
      </w:r>
    </w:p>
    <w:p w14:paraId="29B9A75C" w14:textId="77777777" w:rsidR="00BF736C" w:rsidRPr="00BF736C" w:rsidRDefault="00BF736C" w:rsidP="00BF736C">
      <w:pPr>
        <w:pStyle w:val="p1"/>
        <w:numPr>
          <w:ilvl w:val="0"/>
          <w:numId w:val="24"/>
        </w:numPr>
        <w:tabs>
          <w:tab w:val="left" w:pos="567"/>
        </w:tabs>
        <w:spacing w:before="0" w:beforeAutospacing="0" w:after="0" w:afterAutospacing="0"/>
        <w:ind w:left="0" w:firstLine="709"/>
        <w:jc w:val="both"/>
        <w:rPr>
          <w:sz w:val="28"/>
          <w:szCs w:val="28"/>
        </w:rPr>
      </w:pPr>
      <w:r w:rsidRPr="00BF736C">
        <w:rPr>
          <w:sz w:val="28"/>
          <w:szCs w:val="28"/>
        </w:rPr>
        <w:t>The results of the physician survey (n=336) demonstrated satisfactory psychometric properties: a two-factor model (“Awareness/Attitude”) was confirmed by confirmatory factor analysis (CFA); the majority of factor loadings exceeded 0.4; factor covariance ranged from 0.60 to 0.78 (p &lt; 0.001). The patient questionnaire was adapted through linguistic translation.</w:t>
      </w:r>
    </w:p>
    <w:p w14:paraId="525634A2" w14:textId="77777777" w:rsidR="00BF736C" w:rsidRPr="00BF736C" w:rsidRDefault="00BF736C" w:rsidP="00BF736C">
      <w:pPr>
        <w:pStyle w:val="p1"/>
        <w:tabs>
          <w:tab w:val="left" w:pos="567"/>
        </w:tabs>
        <w:spacing w:before="0" w:beforeAutospacing="0" w:after="0" w:afterAutospacing="0"/>
        <w:ind w:firstLine="709"/>
        <w:jc w:val="both"/>
        <w:rPr>
          <w:sz w:val="28"/>
          <w:szCs w:val="28"/>
        </w:rPr>
      </w:pPr>
      <w:r w:rsidRPr="00BF736C">
        <w:rPr>
          <w:sz w:val="28"/>
          <w:szCs w:val="28"/>
        </w:rPr>
        <w:t>Additionally, the optimization of approaches to assessing physical and economic accessibility using orphan medicines as an example included modification of the analytical object and comparison base, updating the reference price database, and calculating percentage deviations from reference values.</w:t>
      </w:r>
    </w:p>
    <w:p w14:paraId="09AF8864" w14:textId="77777777" w:rsidR="00936087" w:rsidRPr="00936087" w:rsidRDefault="00BF736C" w:rsidP="00936087">
      <w:pPr>
        <w:pStyle w:val="p1"/>
        <w:numPr>
          <w:ilvl w:val="0"/>
          <w:numId w:val="24"/>
        </w:numPr>
        <w:tabs>
          <w:tab w:val="left" w:pos="567"/>
        </w:tabs>
        <w:spacing w:before="0" w:beforeAutospacing="0" w:after="0" w:afterAutospacing="0"/>
        <w:ind w:left="0" w:firstLine="709"/>
        <w:jc w:val="both"/>
        <w:rPr>
          <w:sz w:val="28"/>
          <w:szCs w:val="28"/>
        </w:rPr>
      </w:pPr>
      <w:r w:rsidRPr="00BF736C">
        <w:rPr>
          <w:sz w:val="28"/>
          <w:szCs w:val="28"/>
        </w:rPr>
        <w:t xml:space="preserve">A high level of awareness among physicians in the Republic of Kazakhstan regarding generic medicines was identified (57.8%); however, distrust in their effectiveness and safety remains substantial: 44.9% expressed doubts about </w:t>
      </w:r>
      <w:r w:rsidRPr="00BF736C">
        <w:rPr>
          <w:sz w:val="28"/>
          <w:szCs w:val="28"/>
        </w:rPr>
        <w:lastRenderedPageBreak/>
        <w:t>their effectiveness, and 32% about their safety. Patient awareness was low (41.1%); 43.2% refused generics due to distrust, and 25% due to insufficient information. The primary source of information for patients was healthcare professionals (58.4%).</w:t>
      </w:r>
    </w:p>
    <w:p w14:paraId="156052C7" w14:textId="5BFCBB6F" w:rsidR="00936087" w:rsidRPr="00936087" w:rsidRDefault="00936087" w:rsidP="00936087">
      <w:pPr>
        <w:pStyle w:val="p1"/>
        <w:numPr>
          <w:ilvl w:val="0"/>
          <w:numId w:val="24"/>
        </w:numPr>
        <w:tabs>
          <w:tab w:val="left" w:pos="567"/>
        </w:tabs>
        <w:spacing w:before="0" w:beforeAutospacing="0" w:after="0" w:afterAutospacing="0"/>
        <w:ind w:left="0" w:firstLine="709"/>
        <w:jc w:val="both"/>
        <w:rPr>
          <w:sz w:val="28"/>
          <w:szCs w:val="28"/>
        </w:rPr>
      </w:pPr>
      <w:r w:rsidRPr="00936087">
        <w:rPr>
          <w:sz w:val="28"/>
          <w:szCs w:val="28"/>
        </w:rPr>
        <w:t>The physical (assortment) availability of orphan medicinal products in the Republic of Kazakhstan remains limited. Despite a high inclusion rate in the Kazakhstan National Formulary (79.6%; n=121 out of 152), the actual availability is lower: the registration level is 61.2% (n=93 out of 152), the share of generics is 36.8% (n=56 out of 152), and the coverage of outpatient drug provision is 46.7% (n=71 out of 152).</w:t>
      </w:r>
    </w:p>
    <w:p w14:paraId="5D3D01F6" w14:textId="77777777" w:rsidR="00936087" w:rsidRPr="00936087" w:rsidRDefault="00936087" w:rsidP="00936087">
      <w:pPr>
        <w:pStyle w:val="p1"/>
        <w:spacing w:before="0" w:beforeAutospacing="0" w:after="0" w:afterAutospacing="0"/>
        <w:ind w:firstLine="709"/>
        <w:jc w:val="both"/>
        <w:rPr>
          <w:sz w:val="28"/>
          <w:szCs w:val="28"/>
        </w:rPr>
      </w:pPr>
      <w:r w:rsidRPr="00936087">
        <w:rPr>
          <w:sz w:val="28"/>
          <w:szCs w:val="28"/>
        </w:rPr>
        <w:t>A comparative analysis with international regulatory practices demonstrates incomplete integration: alignment with the EU list is 30.3% (n=46 out of 152) and with the FDA list is 72.4% (n=110 out of 152), while the overall coverage of international orphan medicinal products remains low at 11.6% and 14.8%, respectively.</w:t>
      </w:r>
    </w:p>
    <w:p w14:paraId="5B97BF6C" w14:textId="77777777" w:rsidR="00936087" w:rsidRPr="00936087" w:rsidRDefault="00936087" w:rsidP="00936087">
      <w:pPr>
        <w:pStyle w:val="p1"/>
        <w:spacing w:before="0" w:beforeAutospacing="0" w:after="0" w:afterAutospacing="0"/>
        <w:ind w:firstLine="709"/>
        <w:jc w:val="both"/>
        <w:rPr>
          <w:sz w:val="28"/>
          <w:szCs w:val="28"/>
        </w:rPr>
      </w:pPr>
      <w:r w:rsidRPr="00936087">
        <w:rPr>
          <w:sz w:val="28"/>
          <w:szCs w:val="28"/>
        </w:rPr>
        <w:t>The analysis of the economic availability of medicinal products revealed that procurement prices are on average 28.26% lower than reference prices; however, they are characterized by high variability.</w:t>
      </w:r>
    </w:p>
    <w:p w14:paraId="1C46F591" w14:textId="77777777" w:rsidR="00BF736C" w:rsidRPr="00BF736C" w:rsidRDefault="00BF736C" w:rsidP="00BF736C">
      <w:pPr>
        <w:pStyle w:val="p1"/>
        <w:numPr>
          <w:ilvl w:val="0"/>
          <w:numId w:val="24"/>
        </w:numPr>
        <w:tabs>
          <w:tab w:val="left" w:pos="567"/>
        </w:tabs>
        <w:spacing w:before="0" w:beforeAutospacing="0" w:after="0" w:afterAutospacing="0"/>
        <w:ind w:left="0" w:firstLine="709"/>
        <w:jc w:val="both"/>
        <w:rPr>
          <w:sz w:val="28"/>
          <w:szCs w:val="28"/>
        </w:rPr>
      </w:pPr>
      <w:r w:rsidRPr="00BF736C">
        <w:rPr>
          <w:sz w:val="28"/>
          <w:szCs w:val="28"/>
        </w:rPr>
        <w:t>The developed methodological recommendations are based on optimized approaches to assessing medicine accessibility and are oriented toward practical implementation within the healthcare system.</w:t>
      </w:r>
    </w:p>
    <w:p w14:paraId="7FDB4A89" w14:textId="03BD585C" w:rsidR="00F327E9" w:rsidRPr="009969A4" w:rsidRDefault="009969A4" w:rsidP="009969A4">
      <w:pPr>
        <w:spacing w:after="0"/>
        <w:ind w:firstLine="720"/>
        <w:jc w:val="both"/>
        <w:rPr>
          <w:rFonts w:ascii="Times New Roman" w:hAnsi="Times New Roman" w:cs="Times New Roman"/>
          <w:sz w:val="28"/>
          <w:szCs w:val="28"/>
        </w:rPr>
      </w:pPr>
      <w:r w:rsidRPr="009969A4">
        <w:rPr>
          <w:rFonts w:ascii="Times New Roman" w:hAnsi="Times New Roman" w:cs="Times New Roman"/>
          <w:sz w:val="28"/>
          <w:szCs w:val="28"/>
        </w:rPr>
        <w:t xml:space="preserve">PRACTICAL RECOMMENDATIONS </w:t>
      </w:r>
    </w:p>
    <w:p w14:paraId="39D257D4" w14:textId="77777777" w:rsidR="00390A63" w:rsidRPr="00390A63" w:rsidRDefault="00390A63" w:rsidP="00390A63">
      <w:pPr>
        <w:pStyle w:val="p1"/>
        <w:numPr>
          <w:ilvl w:val="0"/>
          <w:numId w:val="25"/>
        </w:numPr>
        <w:tabs>
          <w:tab w:val="clear" w:pos="720"/>
        </w:tabs>
        <w:spacing w:before="0" w:beforeAutospacing="0" w:after="0" w:afterAutospacing="0"/>
        <w:ind w:left="0" w:firstLine="709"/>
        <w:jc w:val="both"/>
        <w:rPr>
          <w:sz w:val="28"/>
          <w:szCs w:val="28"/>
        </w:rPr>
      </w:pPr>
      <w:r w:rsidRPr="00390A63">
        <w:rPr>
          <w:sz w:val="28"/>
          <w:szCs w:val="28"/>
        </w:rPr>
        <w:t>Further systematic analysis of international and national methodological approaches to assessing medicine accessibility is recommended, with the development of a unified conceptual framework and the identification of comparable indicators for monitoring in the Republic of Kazakhstan.</w:t>
      </w:r>
    </w:p>
    <w:p w14:paraId="558036A2" w14:textId="77777777" w:rsidR="00390A63" w:rsidRPr="00390A63" w:rsidRDefault="00390A63" w:rsidP="00390A63">
      <w:pPr>
        <w:pStyle w:val="p1"/>
        <w:numPr>
          <w:ilvl w:val="0"/>
          <w:numId w:val="25"/>
        </w:numPr>
        <w:tabs>
          <w:tab w:val="clear" w:pos="720"/>
        </w:tabs>
        <w:spacing w:before="0" w:beforeAutospacing="0" w:after="0" w:afterAutospacing="0"/>
        <w:ind w:left="0" w:firstLine="709"/>
        <w:jc w:val="both"/>
        <w:rPr>
          <w:sz w:val="28"/>
          <w:szCs w:val="28"/>
        </w:rPr>
      </w:pPr>
      <w:r w:rsidRPr="00390A63">
        <w:rPr>
          <w:sz w:val="28"/>
          <w:szCs w:val="28"/>
        </w:rPr>
        <w:t>The validated questionnaire for physicians is recommended as a standard tool for monitoring the level of awareness and attitudes toward generic medicines. To enhance the reliability and sustainability of the instrument, it is advisable to conduct large-scale studies aimed at refining its psychometric properties, as well as to ensure regular re-validation in response to changes in the healthcare system and prescribing practices.</w:t>
      </w:r>
    </w:p>
    <w:p w14:paraId="48C421A0" w14:textId="77777777" w:rsidR="00DE3A55" w:rsidRPr="00DE3A55" w:rsidRDefault="00390A63" w:rsidP="00DE3A55">
      <w:pPr>
        <w:pStyle w:val="p1"/>
        <w:numPr>
          <w:ilvl w:val="0"/>
          <w:numId w:val="25"/>
        </w:numPr>
        <w:tabs>
          <w:tab w:val="clear" w:pos="720"/>
        </w:tabs>
        <w:spacing w:before="0" w:beforeAutospacing="0" w:after="0" w:afterAutospacing="0"/>
        <w:ind w:left="0" w:firstLine="709"/>
        <w:jc w:val="both"/>
        <w:rPr>
          <w:sz w:val="28"/>
          <w:szCs w:val="28"/>
        </w:rPr>
      </w:pPr>
      <w:r w:rsidRPr="00390A63">
        <w:rPr>
          <w:sz w:val="28"/>
          <w:szCs w:val="28"/>
        </w:rPr>
        <w:t>It is considered justified to incorporate education on generic medicines into the curricula of medical universities and residency training programs, thereby fostering sustainable competencies among future healthcare professionals. For the general population, the launch of a national information campaign aimed at strengthening trust in generics and increasing awareness of their effectiveness and safety appears appropriate.</w:t>
      </w:r>
    </w:p>
    <w:p w14:paraId="5A16A4C1" w14:textId="77777777" w:rsidR="00454B87" w:rsidRPr="00454B87" w:rsidRDefault="00DE3A55" w:rsidP="00454B87">
      <w:pPr>
        <w:pStyle w:val="p1"/>
        <w:numPr>
          <w:ilvl w:val="0"/>
          <w:numId w:val="25"/>
        </w:numPr>
        <w:tabs>
          <w:tab w:val="clear" w:pos="720"/>
        </w:tabs>
        <w:spacing w:before="0" w:beforeAutospacing="0" w:after="0" w:afterAutospacing="0"/>
        <w:ind w:left="0" w:firstLine="709"/>
        <w:jc w:val="both"/>
        <w:rPr>
          <w:sz w:val="28"/>
          <w:szCs w:val="28"/>
        </w:rPr>
      </w:pPr>
      <w:r w:rsidRPr="00DE3A55">
        <w:rPr>
          <w:sz w:val="28"/>
          <w:szCs w:val="28"/>
        </w:rPr>
        <w:t>The revision of the national list of orphan medicinal products should be carried out based on up-to-date international data and the disease burden structure in the Republic of Kazakhstan, which will enhance its alignment with real clinical needs.</w:t>
      </w:r>
    </w:p>
    <w:p w14:paraId="7DA2F59F" w14:textId="77777777" w:rsidR="00DF2E20" w:rsidRPr="00DF2E20" w:rsidRDefault="00454B87" w:rsidP="00DF2E20">
      <w:pPr>
        <w:pStyle w:val="p1"/>
        <w:spacing w:before="0" w:beforeAutospacing="0" w:after="0" w:afterAutospacing="0"/>
        <w:ind w:firstLine="709"/>
        <w:jc w:val="both"/>
        <w:rPr>
          <w:sz w:val="28"/>
          <w:szCs w:val="28"/>
          <w:lang w:val="en-US"/>
        </w:rPr>
      </w:pPr>
      <w:r w:rsidRPr="00454B87">
        <w:rPr>
          <w:sz w:val="28"/>
          <w:szCs w:val="28"/>
        </w:rPr>
        <w:t xml:space="preserve">As one of the potential tools for improving price regulation, the inclusion of the </w:t>
      </w:r>
      <w:r w:rsidRPr="00454B87">
        <w:rPr>
          <w:i/>
          <w:iCs/>
          <w:sz w:val="28"/>
          <w:szCs w:val="28"/>
        </w:rPr>
        <w:t>Pharmaceutical Schedule</w:t>
      </w:r>
      <w:r w:rsidRPr="00454B87">
        <w:rPr>
          <w:sz w:val="28"/>
          <w:szCs w:val="28"/>
        </w:rPr>
        <w:t xml:space="preserve"> (New Zealand) in the international reference basket may be considered, along with the regular monitoring and analysis of reference price sources</w:t>
      </w:r>
      <w:r w:rsidR="00DE3A55" w:rsidRPr="00454B87">
        <w:rPr>
          <w:sz w:val="28"/>
          <w:szCs w:val="28"/>
        </w:rPr>
        <w:t>.</w:t>
      </w:r>
    </w:p>
    <w:p w14:paraId="743B1BC5" w14:textId="226D0BB2" w:rsidR="00390A63" w:rsidRPr="00DF2E20" w:rsidRDefault="00DF2E20" w:rsidP="00DF2E20">
      <w:pPr>
        <w:pStyle w:val="p1"/>
        <w:spacing w:before="0" w:beforeAutospacing="0" w:after="0" w:afterAutospacing="0"/>
        <w:ind w:firstLine="709"/>
        <w:jc w:val="both"/>
        <w:rPr>
          <w:sz w:val="28"/>
          <w:szCs w:val="28"/>
        </w:rPr>
      </w:pPr>
      <w:r w:rsidRPr="00DF2E20">
        <w:rPr>
          <w:sz w:val="28"/>
          <w:szCs w:val="28"/>
          <w:lang w:val="en-US"/>
        </w:rPr>
        <w:lastRenderedPageBreak/>
        <w:t>5.</w:t>
      </w:r>
      <w:r w:rsidRPr="00933CE6">
        <w:rPr>
          <w:sz w:val="28"/>
          <w:szCs w:val="28"/>
          <w:lang w:val="en-US"/>
        </w:rPr>
        <w:t xml:space="preserve"> </w:t>
      </w:r>
      <w:r w:rsidRPr="00DF2E20">
        <w:rPr>
          <w:sz w:val="28"/>
          <w:szCs w:val="28"/>
        </w:rPr>
        <w:t>The application of the proposed optimized methodological approaches in healthcare practice is recommended to improve the assessment and provision of access to medicines, as well as to enhance the evidence base for managerial decision-making</w:t>
      </w:r>
      <w:r w:rsidR="00390A63" w:rsidRPr="00DF2E20">
        <w:rPr>
          <w:sz w:val="28"/>
          <w:szCs w:val="28"/>
        </w:rPr>
        <w:t>.</w:t>
      </w:r>
    </w:p>
    <w:p w14:paraId="4521C6EC" w14:textId="42D561B7" w:rsidR="00EA6B61" w:rsidRPr="00EA6B61" w:rsidRDefault="006F396C" w:rsidP="00EA6B61">
      <w:pPr>
        <w:pStyle w:val="p1"/>
        <w:spacing w:before="0" w:beforeAutospacing="0" w:after="0" w:afterAutospacing="0"/>
        <w:jc w:val="both"/>
        <w:rPr>
          <w:sz w:val="28"/>
          <w:szCs w:val="28"/>
        </w:rPr>
      </w:pPr>
      <w:r w:rsidRPr="00EA6B61">
        <w:rPr>
          <w:b/>
          <w:bCs/>
          <w:sz w:val="28"/>
          <w:szCs w:val="28"/>
        </w:rPr>
        <w:t xml:space="preserve">The volume and structure of the dissertation. </w:t>
      </w:r>
      <w:r w:rsidR="00EA6B61" w:rsidRPr="00EA6B61">
        <w:rPr>
          <w:sz w:val="28"/>
          <w:szCs w:val="28"/>
        </w:rPr>
        <w:t>The dissertation is presented on 1</w:t>
      </w:r>
      <w:r w:rsidR="00DE3A55" w:rsidRPr="00DE3A55">
        <w:rPr>
          <w:sz w:val="28"/>
          <w:szCs w:val="28"/>
          <w:lang w:val="en-US"/>
        </w:rPr>
        <w:t xml:space="preserve">76 </w:t>
      </w:r>
      <w:r w:rsidR="00EA6B61" w:rsidRPr="00EA6B61">
        <w:rPr>
          <w:sz w:val="28"/>
          <w:szCs w:val="28"/>
        </w:rPr>
        <w:t>pages and consists of the following sections: Introduction, Literature Review, Materials and Methods, Theoretical and Practical Parts of the Author’s Own Research, Conclusion, and Practical Recommendations</w:t>
      </w:r>
      <w:r w:rsidR="00EA6B61" w:rsidRPr="00EA6B61">
        <w:rPr>
          <w:sz w:val="28"/>
          <w:szCs w:val="28"/>
          <w:lang w:val="en-US"/>
        </w:rPr>
        <w:t xml:space="preserve">. </w:t>
      </w:r>
      <w:r w:rsidR="00EA6B61" w:rsidRPr="00EA6B61">
        <w:rPr>
          <w:sz w:val="28"/>
          <w:szCs w:val="28"/>
        </w:rPr>
        <w:t>The manuscript is supplemented with 33 tables, 5 figures, and 7 appendices.</w:t>
      </w:r>
      <w:r w:rsidR="00EA6B61" w:rsidRPr="00EA6B61">
        <w:rPr>
          <w:sz w:val="28"/>
          <w:szCs w:val="28"/>
          <w:lang w:val="en-US"/>
        </w:rPr>
        <w:t xml:space="preserve"> </w:t>
      </w:r>
      <w:r w:rsidR="00EA6B61" w:rsidRPr="00EA6B61">
        <w:rPr>
          <w:sz w:val="28"/>
          <w:szCs w:val="28"/>
        </w:rPr>
        <w:t>The reference list includes 1</w:t>
      </w:r>
      <w:r w:rsidR="00DE3A55" w:rsidRPr="00DE3A55">
        <w:rPr>
          <w:sz w:val="28"/>
          <w:szCs w:val="28"/>
          <w:lang w:val="en-US"/>
        </w:rPr>
        <w:t>70</w:t>
      </w:r>
      <w:r w:rsidR="00EA6B61" w:rsidRPr="00EA6B61">
        <w:rPr>
          <w:sz w:val="28"/>
          <w:szCs w:val="28"/>
        </w:rPr>
        <w:t xml:space="preserve"> sources, of which 12</w:t>
      </w:r>
      <w:r w:rsidR="00DE3A55" w:rsidRPr="002D760B">
        <w:rPr>
          <w:sz w:val="28"/>
          <w:szCs w:val="28"/>
          <w:lang w:val="en-US"/>
        </w:rPr>
        <w:t>5</w:t>
      </w:r>
      <w:r w:rsidR="00EA6B61" w:rsidRPr="00EA6B61">
        <w:rPr>
          <w:sz w:val="28"/>
          <w:szCs w:val="28"/>
        </w:rPr>
        <w:t xml:space="preserve"> (73%) are in English and 27% are in Russian.</w:t>
      </w:r>
    </w:p>
    <w:p w14:paraId="511D640A" w14:textId="3BD91829" w:rsidR="001C496D" w:rsidRPr="00EA6B61" w:rsidRDefault="001C496D" w:rsidP="00EA6B61">
      <w:pPr>
        <w:spacing w:after="0"/>
        <w:ind w:firstLine="720"/>
        <w:jc w:val="both"/>
        <w:rPr>
          <w:rFonts w:ascii="Times New Roman" w:hAnsi="Times New Roman" w:cs="Times New Roman"/>
          <w:sz w:val="28"/>
          <w:szCs w:val="28"/>
        </w:rPr>
      </w:pPr>
    </w:p>
    <w:p w14:paraId="6D36A21E" w14:textId="77777777" w:rsidR="00EA6B61" w:rsidRPr="00EA6B61" w:rsidRDefault="00EA6B61">
      <w:pPr>
        <w:spacing w:after="0"/>
        <w:ind w:firstLine="720"/>
        <w:jc w:val="both"/>
        <w:rPr>
          <w:rFonts w:ascii="Times New Roman" w:hAnsi="Times New Roman" w:cs="Times New Roman"/>
          <w:sz w:val="28"/>
          <w:szCs w:val="28"/>
        </w:rPr>
      </w:pPr>
    </w:p>
    <w:sectPr w:rsidR="00EA6B61" w:rsidRPr="00EA6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E65"/>
    <w:multiLevelType w:val="multilevel"/>
    <w:tmpl w:val="7A80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5A17"/>
    <w:multiLevelType w:val="multilevel"/>
    <w:tmpl w:val="D03A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B7CE1"/>
    <w:multiLevelType w:val="multilevel"/>
    <w:tmpl w:val="31A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E56BC"/>
    <w:multiLevelType w:val="multilevel"/>
    <w:tmpl w:val="484C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F2021"/>
    <w:multiLevelType w:val="multilevel"/>
    <w:tmpl w:val="7F0C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81C13"/>
    <w:multiLevelType w:val="multilevel"/>
    <w:tmpl w:val="5C7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F20DB"/>
    <w:multiLevelType w:val="multilevel"/>
    <w:tmpl w:val="4264433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A249F"/>
    <w:multiLevelType w:val="multilevel"/>
    <w:tmpl w:val="3402A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47FA1"/>
    <w:multiLevelType w:val="multilevel"/>
    <w:tmpl w:val="4F40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107F7"/>
    <w:multiLevelType w:val="hybridMultilevel"/>
    <w:tmpl w:val="7DCECE08"/>
    <w:lvl w:ilvl="0" w:tplc="40DA3F94">
      <w:numFmt w:val="bullet"/>
      <w:lvlText w:val=""/>
      <w:lvlJc w:val="left"/>
      <w:pPr>
        <w:ind w:left="804" w:hanging="444"/>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C4B150A"/>
    <w:multiLevelType w:val="multilevel"/>
    <w:tmpl w:val="85241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477B3"/>
    <w:multiLevelType w:val="multilevel"/>
    <w:tmpl w:val="B63C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540A0"/>
    <w:multiLevelType w:val="hybridMultilevel"/>
    <w:tmpl w:val="15F84B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57C142EE"/>
    <w:multiLevelType w:val="multilevel"/>
    <w:tmpl w:val="C92AF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9E207F"/>
    <w:multiLevelType w:val="multilevel"/>
    <w:tmpl w:val="AE3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946CE"/>
    <w:multiLevelType w:val="multilevel"/>
    <w:tmpl w:val="1D44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D127EE"/>
    <w:multiLevelType w:val="hybridMultilevel"/>
    <w:tmpl w:val="A23C82B6"/>
    <w:lvl w:ilvl="0" w:tplc="0C86CA66">
      <w:start w:val="1"/>
      <w:numFmt w:val="decimal"/>
      <w:lvlText w:val="%1."/>
      <w:lvlJc w:val="left"/>
      <w:pPr>
        <w:ind w:left="1080" w:hanging="360"/>
      </w:pPr>
      <w:rPr>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64D63626"/>
    <w:multiLevelType w:val="multilevel"/>
    <w:tmpl w:val="36C0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9725C"/>
    <w:multiLevelType w:val="multilevel"/>
    <w:tmpl w:val="01B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F32F1"/>
    <w:multiLevelType w:val="multilevel"/>
    <w:tmpl w:val="1B42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407FA"/>
    <w:multiLevelType w:val="multilevel"/>
    <w:tmpl w:val="501C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DA0B59"/>
    <w:multiLevelType w:val="multilevel"/>
    <w:tmpl w:val="2F08C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740663"/>
    <w:multiLevelType w:val="multilevel"/>
    <w:tmpl w:val="444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6002D"/>
    <w:multiLevelType w:val="multilevel"/>
    <w:tmpl w:val="CDA02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8B27A4"/>
    <w:multiLevelType w:val="multilevel"/>
    <w:tmpl w:val="0F1C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290A72"/>
    <w:multiLevelType w:val="multilevel"/>
    <w:tmpl w:val="BE0E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17483">
    <w:abstractNumId w:val="18"/>
  </w:num>
  <w:num w:numId="2" w16cid:durableId="220336886">
    <w:abstractNumId w:val="14"/>
  </w:num>
  <w:num w:numId="3" w16cid:durableId="162671583">
    <w:abstractNumId w:val="1"/>
  </w:num>
  <w:num w:numId="4" w16cid:durableId="638341605">
    <w:abstractNumId w:val="5"/>
  </w:num>
  <w:num w:numId="5" w16cid:durableId="869221279">
    <w:abstractNumId w:val="22"/>
  </w:num>
  <w:num w:numId="6" w16cid:durableId="616567299">
    <w:abstractNumId w:val="24"/>
  </w:num>
  <w:num w:numId="7" w16cid:durableId="762989726">
    <w:abstractNumId w:val="2"/>
  </w:num>
  <w:num w:numId="8" w16cid:durableId="1530029068">
    <w:abstractNumId w:val="0"/>
  </w:num>
  <w:num w:numId="9" w16cid:durableId="625163684">
    <w:abstractNumId w:val="25"/>
  </w:num>
  <w:num w:numId="10" w16cid:durableId="1511335459">
    <w:abstractNumId w:val="19"/>
  </w:num>
  <w:num w:numId="11" w16cid:durableId="1307081461">
    <w:abstractNumId w:val="16"/>
  </w:num>
  <w:num w:numId="12" w16cid:durableId="500236569">
    <w:abstractNumId w:val="15"/>
  </w:num>
  <w:num w:numId="13" w16cid:durableId="735250861">
    <w:abstractNumId w:val="12"/>
  </w:num>
  <w:num w:numId="14" w16cid:durableId="1362246196">
    <w:abstractNumId w:val="9"/>
  </w:num>
  <w:num w:numId="15" w16cid:durableId="1653631111">
    <w:abstractNumId w:val="8"/>
  </w:num>
  <w:num w:numId="16" w16cid:durableId="142359796">
    <w:abstractNumId w:val="6"/>
  </w:num>
  <w:num w:numId="17" w16cid:durableId="1599144711">
    <w:abstractNumId w:val="4"/>
  </w:num>
  <w:num w:numId="18" w16cid:durableId="1345061011">
    <w:abstractNumId w:val="11"/>
  </w:num>
  <w:num w:numId="19" w16cid:durableId="848835780">
    <w:abstractNumId w:val="7"/>
  </w:num>
  <w:num w:numId="20" w16cid:durableId="341711898">
    <w:abstractNumId w:val="21"/>
  </w:num>
  <w:num w:numId="21" w16cid:durableId="1478453453">
    <w:abstractNumId w:val="13"/>
  </w:num>
  <w:num w:numId="22" w16cid:durableId="894123471">
    <w:abstractNumId w:val="3"/>
  </w:num>
  <w:num w:numId="23" w16cid:durableId="646977570">
    <w:abstractNumId w:val="23"/>
  </w:num>
  <w:num w:numId="24" w16cid:durableId="1489054388">
    <w:abstractNumId w:val="17"/>
  </w:num>
  <w:num w:numId="25" w16cid:durableId="1213150009">
    <w:abstractNumId w:val="20"/>
  </w:num>
  <w:num w:numId="26" w16cid:durableId="1182352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27"/>
    <w:rsid w:val="00003331"/>
    <w:rsid w:val="00004E4F"/>
    <w:rsid w:val="00022990"/>
    <w:rsid w:val="00076C68"/>
    <w:rsid w:val="00083C20"/>
    <w:rsid w:val="00090696"/>
    <w:rsid w:val="0009073C"/>
    <w:rsid w:val="000A0123"/>
    <w:rsid w:val="000B3A1F"/>
    <w:rsid w:val="000B43A0"/>
    <w:rsid w:val="00131E39"/>
    <w:rsid w:val="00144108"/>
    <w:rsid w:val="001645A4"/>
    <w:rsid w:val="00183D29"/>
    <w:rsid w:val="001A389B"/>
    <w:rsid w:val="001C496D"/>
    <w:rsid w:val="001F2523"/>
    <w:rsid w:val="00247E7C"/>
    <w:rsid w:val="00255C81"/>
    <w:rsid w:val="0026414F"/>
    <w:rsid w:val="00290B68"/>
    <w:rsid w:val="002A532A"/>
    <w:rsid w:val="002B3F6E"/>
    <w:rsid w:val="002C5F92"/>
    <w:rsid w:val="002C73D9"/>
    <w:rsid w:val="002D4FD6"/>
    <w:rsid w:val="002D60DA"/>
    <w:rsid w:val="002D7514"/>
    <w:rsid w:val="002D760B"/>
    <w:rsid w:val="0032419D"/>
    <w:rsid w:val="00332311"/>
    <w:rsid w:val="00357D79"/>
    <w:rsid w:val="003648B2"/>
    <w:rsid w:val="00390A63"/>
    <w:rsid w:val="0039134C"/>
    <w:rsid w:val="003A7197"/>
    <w:rsid w:val="003C17C6"/>
    <w:rsid w:val="003C6FC2"/>
    <w:rsid w:val="003E366E"/>
    <w:rsid w:val="00454B87"/>
    <w:rsid w:val="00457208"/>
    <w:rsid w:val="0046011B"/>
    <w:rsid w:val="00460EA2"/>
    <w:rsid w:val="00472EA7"/>
    <w:rsid w:val="00474B32"/>
    <w:rsid w:val="00494725"/>
    <w:rsid w:val="00494BCC"/>
    <w:rsid w:val="004C3B07"/>
    <w:rsid w:val="004D044A"/>
    <w:rsid w:val="004E6313"/>
    <w:rsid w:val="00502442"/>
    <w:rsid w:val="0051022E"/>
    <w:rsid w:val="005248D3"/>
    <w:rsid w:val="005578CF"/>
    <w:rsid w:val="00576C84"/>
    <w:rsid w:val="00590595"/>
    <w:rsid w:val="005A2CA5"/>
    <w:rsid w:val="005A5B19"/>
    <w:rsid w:val="005B78D9"/>
    <w:rsid w:val="005F3F36"/>
    <w:rsid w:val="006207CF"/>
    <w:rsid w:val="00652239"/>
    <w:rsid w:val="00682D20"/>
    <w:rsid w:val="006902DB"/>
    <w:rsid w:val="00695854"/>
    <w:rsid w:val="00695881"/>
    <w:rsid w:val="006959AF"/>
    <w:rsid w:val="006C3228"/>
    <w:rsid w:val="006D04B3"/>
    <w:rsid w:val="006E4D7E"/>
    <w:rsid w:val="006F396C"/>
    <w:rsid w:val="00700968"/>
    <w:rsid w:val="0070158C"/>
    <w:rsid w:val="00725EDF"/>
    <w:rsid w:val="00727493"/>
    <w:rsid w:val="00745A1B"/>
    <w:rsid w:val="0075183C"/>
    <w:rsid w:val="0075413F"/>
    <w:rsid w:val="007A2653"/>
    <w:rsid w:val="007B660D"/>
    <w:rsid w:val="00806704"/>
    <w:rsid w:val="008259CD"/>
    <w:rsid w:val="0084579C"/>
    <w:rsid w:val="00871732"/>
    <w:rsid w:val="00872821"/>
    <w:rsid w:val="008A6812"/>
    <w:rsid w:val="008B04FB"/>
    <w:rsid w:val="008B3342"/>
    <w:rsid w:val="008D2FBC"/>
    <w:rsid w:val="008D5307"/>
    <w:rsid w:val="008E083B"/>
    <w:rsid w:val="00921027"/>
    <w:rsid w:val="00925398"/>
    <w:rsid w:val="00933CE6"/>
    <w:rsid w:val="00936087"/>
    <w:rsid w:val="009731D9"/>
    <w:rsid w:val="009866F7"/>
    <w:rsid w:val="009958B5"/>
    <w:rsid w:val="009969A4"/>
    <w:rsid w:val="009B4E75"/>
    <w:rsid w:val="009D2D6A"/>
    <w:rsid w:val="009F6969"/>
    <w:rsid w:val="00A31E88"/>
    <w:rsid w:val="00A41D64"/>
    <w:rsid w:val="00A4571F"/>
    <w:rsid w:val="00A818E7"/>
    <w:rsid w:val="00A824E8"/>
    <w:rsid w:val="00B17AF2"/>
    <w:rsid w:val="00B44EF2"/>
    <w:rsid w:val="00B749B6"/>
    <w:rsid w:val="00B77DDE"/>
    <w:rsid w:val="00BA634B"/>
    <w:rsid w:val="00BC4390"/>
    <w:rsid w:val="00BD2585"/>
    <w:rsid w:val="00BD5484"/>
    <w:rsid w:val="00BE1B66"/>
    <w:rsid w:val="00BE3E49"/>
    <w:rsid w:val="00BF736C"/>
    <w:rsid w:val="00C4348A"/>
    <w:rsid w:val="00C451F8"/>
    <w:rsid w:val="00C4644F"/>
    <w:rsid w:val="00C820D4"/>
    <w:rsid w:val="00C85E1B"/>
    <w:rsid w:val="00CA6167"/>
    <w:rsid w:val="00CB607B"/>
    <w:rsid w:val="00CC0DE5"/>
    <w:rsid w:val="00CC7266"/>
    <w:rsid w:val="00CF7BFD"/>
    <w:rsid w:val="00D046DA"/>
    <w:rsid w:val="00D26235"/>
    <w:rsid w:val="00D443CD"/>
    <w:rsid w:val="00D45B1F"/>
    <w:rsid w:val="00D613FA"/>
    <w:rsid w:val="00DD3874"/>
    <w:rsid w:val="00DE33D5"/>
    <w:rsid w:val="00DE3A55"/>
    <w:rsid w:val="00DE428A"/>
    <w:rsid w:val="00DF2E20"/>
    <w:rsid w:val="00E05F8F"/>
    <w:rsid w:val="00E42E32"/>
    <w:rsid w:val="00EA15ED"/>
    <w:rsid w:val="00EA6B61"/>
    <w:rsid w:val="00EC6E33"/>
    <w:rsid w:val="00F027C4"/>
    <w:rsid w:val="00F03BD4"/>
    <w:rsid w:val="00F327E9"/>
    <w:rsid w:val="00F5314B"/>
    <w:rsid w:val="00F53523"/>
    <w:rsid w:val="00F65CBD"/>
    <w:rsid w:val="00F66BD4"/>
    <w:rsid w:val="00F95C1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4245"/>
  <w15:chartTrackingRefBased/>
  <w15:docId w15:val="{CE5397CD-0266-4994-A1FB-03D0E51F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1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1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10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10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10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10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10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10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10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0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10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10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10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10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10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10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210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1027"/>
    <w:rPr>
      <w:rFonts w:eastAsiaTheme="majorEastAsia" w:cstheme="majorBidi"/>
      <w:color w:val="272727" w:themeColor="text1" w:themeTint="D8"/>
    </w:rPr>
  </w:style>
  <w:style w:type="paragraph" w:styleId="a3">
    <w:name w:val="Title"/>
    <w:basedOn w:val="a"/>
    <w:next w:val="a"/>
    <w:link w:val="a4"/>
    <w:uiPriority w:val="10"/>
    <w:qFormat/>
    <w:rsid w:val="0092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1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0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10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1027"/>
    <w:pPr>
      <w:spacing w:before="160"/>
      <w:jc w:val="center"/>
    </w:pPr>
    <w:rPr>
      <w:i/>
      <w:iCs/>
      <w:color w:val="404040" w:themeColor="text1" w:themeTint="BF"/>
    </w:rPr>
  </w:style>
  <w:style w:type="character" w:customStyle="1" w:styleId="22">
    <w:name w:val="Цитата 2 Знак"/>
    <w:basedOn w:val="a0"/>
    <w:link w:val="21"/>
    <w:uiPriority w:val="29"/>
    <w:rsid w:val="00921027"/>
    <w:rPr>
      <w:i/>
      <w:iCs/>
      <w:color w:val="404040" w:themeColor="text1" w:themeTint="BF"/>
    </w:rPr>
  </w:style>
  <w:style w:type="paragraph" w:styleId="a7">
    <w:name w:val="List Paragraph"/>
    <w:basedOn w:val="a"/>
    <w:uiPriority w:val="34"/>
    <w:qFormat/>
    <w:rsid w:val="00921027"/>
    <w:pPr>
      <w:ind w:left="720"/>
      <w:contextualSpacing/>
    </w:pPr>
  </w:style>
  <w:style w:type="character" w:styleId="a8">
    <w:name w:val="Intense Emphasis"/>
    <w:basedOn w:val="a0"/>
    <w:uiPriority w:val="21"/>
    <w:qFormat/>
    <w:rsid w:val="00921027"/>
    <w:rPr>
      <w:i/>
      <w:iCs/>
      <w:color w:val="2F5496" w:themeColor="accent1" w:themeShade="BF"/>
    </w:rPr>
  </w:style>
  <w:style w:type="paragraph" w:styleId="a9">
    <w:name w:val="Intense Quote"/>
    <w:basedOn w:val="a"/>
    <w:next w:val="a"/>
    <w:link w:val="aa"/>
    <w:uiPriority w:val="30"/>
    <w:qFormat/>
    <w:rsid w:val="00921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1027"/>
    <w:rPr>
      <w:i/>
      <w:iCs/>
      <w:color w:val="2F5496" w:themeColor="accent1" w:themeShade="BF"/>
    </w:rPr>
  </w:style>
  <w:style w:type="character" w:styleId="ab">
    <w:name w:val="Intense Reference"/>
    <w:basedOn w:val="a0"/>
    <w:uiPriority w:val="32"/>
    <w:qFormat/>
    <w:rsid w:val="00921027"/>
    <w:rPr>
      <w:b/>
      <w:bCs/>
      <w:smallCaps/>
      <w:color w:val="2F5496" w:themeColor="accent1" w:themeShade="BF"/>
      <w:spacing w:val="5"/>
    </w:rPr>
  </w:style>
  <w:style w:type="paragraph" w:customStyle="1" w:styleId="Default">
    <w:name w:val="Default"/>
    <w:rsid w:val="006F396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ac">
    <w:name w:val="Strong"/>
    <w:basedOn w:val="a0"/>
    <w:uiPriority w:val="22"/>
    <w:qFormat/>
    <w:rsid w:val="005248D3"/>
    <w:rPr>
      <w:b/>
      <w:bCs/>
    </w:rPr>
  </w:style>
  <w:style w:type="paragraph" w:customStyle="1" w:styleId="p1">
    <w:name w:val="p1"/>
    <w:basedOn w:val="a"/>
    <w:rsid w:val="00474B3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2">
    <w:name w:val="p2"/>
    <w:basedOn w:val="a"/>
    <w:rsid w:val="00474B3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3">
    <w:name w:val="p3"/>
    <w:basedOn w:val="a"/>
    <w:rsid w:val="00474B3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
    <w:name w:val="s1"/>
    <w:basedOn w:val="a0"/>
    <w:rsid w:val="002D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859">
      <w:bodyDiv w:val="1"/>
      <w:marLeft w:val="0"/>
      <w:marRight w:val="0"/>
      <w:marTop w:val="0"/>
      <w:marBottom w:val="0"/>
      <w:divBdr>
        <w:top w:val="none" w:sz="0" w:space="0" w:color="auto"/>
        <w:left w:val="none" w:sz="0" w:space="0" w:color="auto"/>
        <w:bottom w:val="none" w:sz="0" w:space="0" w:color="auto"/>
        <w:right w:val="none" w:sz="0" w:space="0" w:color="auto"/>
      </w:divBdr>
    </w:div>
    <w:div w:id="205803843">
      <w:bodyDiv w:val="1"/>
      <w:marLeft w:val="0"/>
      <w:marRight w:val="0"/>
      <w:marTop w:val="0"/>
      <w:marBottom w:val="0"/>
      <w:divBdr>
        <w:top w:val="none" w:sz="0" w:space="0" w:color="auto"/>
        <w:left w:val="none" w:sz="0" w:space="0" w:color="auto"/>
        <w:bottom w:val="none" w:sz="0" w:space="0" w:color="auto"/>
        <w:right w:val="none" w:sz="0" w:space="0" w:color="auto"/>
      </w:divBdr>
    </w:div>
    <w:div w:id="301883035">
      <w:bodyDiv w:val="1"/>
      <w:marLeft w:val="0"/>
      <w:marRight w:val="0"/>
      <w:marTop w:val="0"/>
      <w:marBottom w:val="0"/>
      <w:divBdr>
        <w:top w:val="none" w:sz="0" w:space="0" w:color="auto"/>
        <w:left w:val="none" w:sz="0" w:space="0" w:color="auto"/>
        <w:bottom w:val="none" w:sz="0" w:space="0" w:color="auto"/>
        <w:right w:val="none" w:sz="0" w:space="0" w:color="auto"/>
      </w:divBdr>
    </w:div>
    <w:div w:id="374698612">
      <w:bodyDiv w:val="1"/>
      <w:marLeft w:val="0"/>
      <w:marRight w:val="0"/>
      <w:marTop w:val="0"/>
      <w:marBottom w:val="0"/>
      <w:divBdr>
        <w:top w:val="none" w:sz="0" w:space="0" w:color="auto"/>
        <w:left w:val="none" w:sz="0" w:space="0" w:color="auto"/>
        <w:bottom w:val="none" w:sz="0" w:space="0" w:color="auto"/>
        <w:right w:val="none" w:sz="0" w:space="0" w:color="auto"/>
      </w:divBdr>
    </w:div>
    <w:div w:id="381441389">
      <w:bodyDiv w:val="1"/>
      <w:marLeft w:val="0"/>
      <w:marRight w:val="0"/>
      <w:marTop w:val="0"/>
      <w:marBottom w:val="0"/>
      <w:divBdr>
        <w:top w:val="none" w:sz="0" w:space="0" w:color="auto"/>
        <w:left w:val="none" w:sz="0" w:space="0" w:color="auto"/>
        <w:bottom w:val="none" w:sz="0" w:space="0" w:color="auto"/>
        <w:right w:val="none" w:sz="0" w:space="0" w:color="auto"/>
      </w:divBdr>
      <w:divsChild>
        <w:div w:id="884146824">
          <w:marLeft w:val="0"/>
          <w:marRight w:val="0"/>
          <w:marTop w:val="0"/>
          <w:marBottom w:val="0"/>
          <w:divBdr>
            <w:top w:val="none" w:sz="0" w:space="0" w:color="auto"/>
            <w:left w:val="none" w:sz="0" w:space="0" w:color="auto"/>
            <w:bottom w:val="none" w:sz="0" w:space="0" w:color="auto"/>
            <w:right w:val="none" w:sz="0" w:space="0" w:color="auto"/>
          </w:divBdr>
          <w:divsChild>
            <w:div w:id="1869027338">
              <w:marLeft w:val="0"/>
              <w:marRight w:val="0"/>
              <w:marTop w:val="0"/>
              <w:marBottom w:val="0"/>
              <w:divBdr>
                <w:top w:val="none" w:sz="0" w:space="0" w:color="auto"/>
                <w:left w:val="none" w:sz="0" w:space="0" w:color="auto"/>
                <w:bottom w:val="none" w:sz="0" w:space="0" w:color="auto"/>
                <w:right w:val="none" w:sz="0" w:space="0" w:color="auto"/>
              </w:divBdr>
              <w:divsChild>
                <w:div w:id="1072502678">
                  <w:marLeft w:val="0"/>
                  <w:marRight w:val="0"/>
                  <w:marTop w:val="0"/>
                  <w:marBottom w:val="0"/>
                  <w:divBdr>
                    <w:top w:val="none" w:sz="0" w:space="0" w:color="auto"/>
                    <w:left w:val="none" w:sz="0" w:space="0" w:color="auto"/>
                    <w:bottom w:val="none" w:sz="0" w:space="0" w:color="auto"/>
                    <w:right w:val="none" w:sz="0" w:space="0" w:color="auto"/>
                  </w:divBdr>
                  <w:divsChild>
                    <w:div w:id="459229224">
                      <w:marLeft w:val="0"/>
                      <w:marRight w:val="0"/>
                      <w:marTop w:val="0"/>
                      <w:marBottom w:val="0"/>
                      <w:divBdr>
                        <w:top w:val="none" w:sz="0" w:space="0" w:color="auto"/>
                        <w:left w:val="none" w:sz="0" w:space="0" w:color="auto"/>
                        <w:bottom w:val="none" w:sz="0" w:space="0" w:color="auto"/>
                        <w:right w:val="none" w:sz="0" w:space="0" w:color="auto"/>
                      </w:divBdr>
                      <w:divsChild>
                        <w:div w:id="1009062109">
                          <w:marLeft w:val="0"/>
                          <w:marRight w:val="0"/>
                          <w:marTop w:val="0"/>
                          <w:marBottom w:val="0"/>
                          <w:divBdr>
                            <w:top w:val="none" w:sz="0" w:space="0" w:color="auto"/>
                            <w:left w:val="none" w:sz="0" w:space="0" w:color="auto"/>
                            <w:bottom w:val="none" w:sz="0" w:space="0" w:color="auto"/>
                            <w:right w:val="none" w:sz="0" w:space="0" w:color="auto"/>
                          </w:divBdr>
                          <w:divsChild>
                            <w:div w:id="1072387893">
                              <w:marLeft w:val="0"/>
                              <w:marRight w:val="0"/>
                              <w:marTop w:val="0"/>
                              <w:marBottom w:val="0"/>
                              <w:divBdr>
                                <w:top w:val="none" w:sz="0" w:space="0" w:color="auto"/>
                                <w:left w:val="none" w:sz="0" w:space="0" w:color="auto"/>
                                <w:bottom w:val="none" w:sz="0" w:space="0" w:color="auto"/>
                                <w:right w:val="none" w:sz="0" w:space="0" w:color="auto"/>
                              </w:divBdr>
                              <w:divsChild>
                                <w:div w:id="1419525463">
                                  <w:marLeft w:val="0"/>
                                  <w:marRight w:val="0"/>
                                  <w:marTop w:val="0"/>
                                  <w:marBottom w:val="0"/>
                                  <w:divBdr>
                                    <w:top w:val="none" w:sz="0" w:space="0" w:color="auto"/>
                                    <w:left w:val="none" w:sz="0" w:space="0" w:color="auto"/>
                                    <w:bottom w:val="none" w:sz="0" w:space="0" w:color="auto"/>
                                    <w:right w:val="none" w:sz="0" w:space="0" w:color="auto"/>
                                  </w:divBdr>
                                  <w:divsChild>
                                    <w:div w:id="15842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30644">
                          <w:marLeft w:val="0"/>
                          <w:marRight w:val="0"/>
                          <w:marTop w:val="0"/>
                          <w:marBottom w:val="0"/>
                          <w:divBdr>
                            <w:top w:val="none" w:sz="0" w:space="0" w:color="auto"/>
                            <w:left w:val="none" w:sz="0" w:space="0" w:color="auto"/>
                            <w:bottom w:val="none" w:sz="0" w:space="0" w:color="auto"/>
                            <w:right w:val="none" w:sz="0" w:space="0" w:color="auto"/>
                          </w:divBdr>
                          <w:divsChild>
                            <w:div w:id="1892229314">
                              <w:marLeft w:val="0"/>
                              <w:marRight w:val="0"/>
                              <w:marTop w:val="0"/>
                              <w:marBottom w:val="0"/>
                              <w:divBdr>
                                <w:top w:val="none" w:sz="0" w:space="0" w:color="auto"/>
                                <w:left w:val="none" w:sz="0" w:space="0" w:color="auto"/>
                                <w:bottom w:val="none" w:sz="0" w:space="0" w:color="auto"/>
                                <w:right w:val="none" w:sz="0" w:space="0" w:color="auto"/>
                              </w:divBdr>
                              <w:divsChild>
                                <w:div w:id="115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444079">
      <w:bodyDiv w:val="1"/>
      <w:marLeft w:val="0"/>
      <w:marRight w:val="0"/>
      <w:marTop w:val="0"/>
      <w:marBottom w:val="0"/>
      <w:divBdr>
        <w:top w:val="none" w:sz="0" w:space="0" w:color="auto"/>
        <w:left w:val="none" w:sz="0" w:space="0" w:color="auto"/>
        <w:bottom w:val="none" w:sz="0" w:space="0" w:color="auto"/>
        <w:right w:val="none" w:sz="0" w:space="0" w:color="auto"/>
      </w:divBdr>
      <w:divsChild>
        <w:div w:id="861086826">
          <w:marLeft w:val="0"/>
          <w:marRight w:val="0"/>
          <w:marTop w:val="0"/>
          <w:marBottom w:val="0"/>
          <w:divBdr>
            <w:top w:val="none" w:sz="0" w:space="0" w:color="auto"/>
            <w:left w:val="none" w:sz="0" w:space="0" w:color="auto"/>
            <w:bottom w:val="none" w:sz="0" w:space="0" w:color="auto"/>
            <w:right w:val="none" w:sz="0" w:space="0" w:color="auto"/>
          </w:divBdr>
          <w:divsChild>
            <w:div w:id="1344892053">
              <w:marLeft w:val="0"/>
              <w:marRight w:val="0"/>
              <w:marTop w:val="0"/>
              <w:marBottom w:val="0"/>
              <w:divBdr>
                <w:top w:val="none" w:sz="0" w:space="0" w:color="auto"/>
                <w:left w:val="none" w:sz="0" w:space="0" w:color="auto"/>
                <w:bottom w:val="none" w:sz="0" w:space="0" w:color="auto"/>
                <w:right w:val="none" w:sz="0" w:space="0" w:color="auto"/>
              </w:divBdr>
              <w:divsChild>
                <w:div w:id="1492404281">
                  <w:marLeft w:val="0"/>
                  <w:marRight w:val="0"/>
                  <w:marTop w:val="0"/>
                  <w:marBottom w:val="0"/>
                  <w:divBdr>
                    <w:top w:val="none" w:sz="0" w:space="0" w:color="auto"/>
                    <w:left w:val="none" w:sz="0" w:space="0" w:color="auto"/>
                    <w:bottom w:val="none" w:sz="0" w:space="0" w:color="auto"/>
                    <w:right w:val="none" w:sz="0" w:space="0" w:color="auto"/>
                  </w:divBdr>
                  <w:divsChild>
                    <w:div w:id="1745106830">
                      <w:marLeft w:val="0"/>
                      <w:marRight w:val="0"/>
                      <w:marTop w:val="0"/>
                      <w:marBottom w:val="0"/>
                      <w:divBdr>
                        <w:top w:val="none" w:sz="0" w:space="0" w:color="auto"/>
                        <w:left w:val="none" w:sz="0" w:space="0" w:color="auto"/>
                        <w:bottom w:val="none" w:sz="0" w:space="0" w:color="auto"/>
                        <w:right w:val="none" w:sz="0" w:space="0" w:color="auto"/>
                      </w:divBdr>
                      <w:divsChild>
                        <w:div w:id="409427994">
                          <w:marLeft w:val="0"/>
                          <w:marRight w:val="0"/>
                          <w:marTop w:val="0"/>
                          <w:marBottom w:val="0"/>
                          <w:divBdr>
                            <w:top w:val="none" w:sz="0" w:space="0" w:color="auto"/>
                            <w:left w:val="none" w:sz="0" w:space="0" w:color="auto"/>
                            <w:bottom w:val="none" w:sz="0" w:space="0" w:color="auto"/>
                            <w:right w:val="none" w:sz="0" w:space="0" w:color="auto"/>
                          </w:divBdr>
                          <w:divsChild>
                            <w:div w:id="795637412">
                              <w:marLeft w:val="0"/>
                              <w:marRight w:val="0"/>
                              <w:marTop w:val="0"/>
                              <w:marBottom w:val="0"/>
                              <w:divBdr>
                                <w:top w:val="none" w:sz="0" w:space="0" w:color="auto"/>
                                <w:left w:val="none" w:sz="0" w:space="0" w:color="auto"/>
                                <w:bottom w:val="none" w:sz="0" w:space="0" w:color="auto"/>
                                <w:right w:val="none" w:sz="0" w:space="0" w:color="auto"/>
                              </w:divBdr>
                              <w:divsChild>
                                <w:div w:id="288510429">
                                  <w:marLeft w:val="0"/>
                                  <w:marRight w:val="0"/>
                                  <w:marTop w:val="0"/>
                                  <w:marBottom w:val="0"/>
                                  <w:divBdr>
                                    <w:top w:val="none" w:sz="0" w:space="0" w:color="auto"/>
                                    <w:left w:val="none" w:sz="0" w:space="0" w:color="auto"/>
                                    <w:bottom w:val="none" w:sz="0" w:space="0" w:color="auto"/>
                                    <w:right w:val="none" w:sz="0" w:space="0" w:color="auto"/>
                                  </w:divBdr>
                                  <w:divsChild>
                                    <w:div w:id="18761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4843">
                          <w:marLeft w:val="0"/>
                          <w:marRight w:val="0"/>
                          <w:marTop w:val="0"/>
                          <w:marBottom w:val="0"/>
                          <w:divBdr>
                            <w:top w:val="none" w:sz="0" w:space="0" w:color="auto"/>
                            <w:left w:val="none" w:sz="0" w:space="0" w:color="auto"/>
                            <w:bottom w:val="none" w:sz="0" w:space="0" w:color="auto"/>
                            <w:right w:val="none" w:sz="0" w:space="0" w:color="auto"/>
                          </w:divBdr>
                          <w:divsChild>
                            <w:div w:id="752777736">
                              <w:marLeft w:val="0"/>
                              <w:marRight w:val="0"/>
                              <w:marTop w:val="0"/>
                              <w:marBottom w:val="0"/>
                              <w:divBdr>
                                <w:top w:val="none" w:sz="0" w:space="0" w:color="auto"/>
                                <w:left w:val="none" w:sz="0" w:space="0" w:color="auto"/>
                                <w:bottom w:val="none" w:sz="0" w:space="0" w:color="auto"/>
                                <w:right w:val="none" w:sz="0" w:space="0" w:color="auto"/>
                              </w:divBdr>
                              <w:divsChild>
                                <w:div w:id="1863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034501">
      <w:bodyDiv w:val="1"/>
      <w:marLeft w:val="0"/>
      <w:marRight w:val="0"/>
      <w:marTop w:val="0"/>
      <w:marBottom w:val="0"/>
      <w:divBdr>
        <w:top w:val="none" w:sz="0" w:space="0" w:color="auto"/>
        <w:left w:val="none" w:sz="0" w:space="0" w:color="auto"/>
        <w:bottom w:val="none" w:sz="0" w:space="0" w:color="auto"/>
        <w:right w:val="none" w:sz="0" w:space="0" w:color="auto"/>
      </w:divBdr>
      <w:divsChild>
        <w:div w:id="946425205">
          <w:marLeft w:val="0"/>
          <w:marRight w:val="0"/>
          <w:marTop w:val="0"/>
          <w:marBottom w:val="0"/>
          <w:divBdr>
            <w:top w:val="none" w:sz="0" w:space="0" w:color="auto"/>
            <w:left w:val="none" w:sz="0" w:space="0" w:color="auto"/>
            <w:bottom w:val="none" w:sz="0" w:space="0" w:color="auto"/>
            <w:right w:val="none" w:sz="0" w:space="0" w:color="auto"/>
          </w:divBdr>
          <w:divsChild>
            <w:div w:id="1610315195">
              <w:marLeft w:val="0"/>
              <w:marRight w:val="0"/>
              <w:marTop w:val="0"/>
              <w:marBottom w:val="0"/>
              <w:divBdr>
                <w:top w:val="none" w:sz="0" w:space="0" w:color="auto"/>
                <w:left w:val="none" w:sz="0" w:space="0" w:color="auto"/>
                <w:bottom w:val="none" w:sz="0" w:space="0" w:color="auto"/>
                <w:right w:val="none" w:sz="0" w:space="0" w:color="auto"/>
              </w:divBdr>
              <w:divsChild>
                <w:div w:id="550306468">
                  <w:marLeft w:val="0"/>
                  <w:marRight w:val="0"/>
                  <w:marTop w:val="0"/>
                  <w:marBottom w:val="0"/>
                  <w:divBdr>
                    <w:top w:val="none" w:sz="0" w:space="0" w:color="auto"/>
                    <w:left w:val="none" w:sz="0" w:space="0" w:color="auto"/>
                    <w:bottom w:val="none" w:sz="0" w:space="0" w:color="auto"/>
                    <w:right w:val="none" w:sz="0" w:space="0" w:color="auto"/>
                  </w:divBdr>
                  <w:divsChild>
                    <w:div w:id="1959484577">
                      <w:marLeft w:val="0"/>
                      <w:marRight w:val="0"/>
                      <w:marTop w:val="0"/>
                      <w:marBottom w:val="0"/>
                      <w:divBdr>
                        <w:top w:val="none" w:sz="0" w:space="0" w:color="auto"/>
                        <w:left w:val="none" w:sz="0" w:space="0" w:color="auto"/>
                        <w:bottom w:val="none" w:sz="0" w:space="0" w:color="auto"/>
                        <w:right w:val="none" w:sz="0" w:space="0" w:color="auto"/>
                      </w:divBdr>
                      <w:divsChild>
                        <w:div w:id="398482465">
                          <w:marLeft w:val="0"/>
                          <w:marRight w:val="0"/>
                          <w:marTop w:val="0"/>
                          <w:marBottom w:val="0"/>
                          <w:divBdr>
                            <w:top w:val="none" w:sz="0" w:space="0" w:color="auto"/>
                            <w:left w:val="none" w:sz="0" w:space="0" w:color="auto"/>
                            <w:bottom w:val="none" w:sz="0" w:space="0" w:color="auto"/>
                            <w:right w:val="none" w:sz="0" w:space="0" w:color="auto"/>
                          </w:divBdr>
                          <w:divsChild>
                            <w:div w:id="1674456017">
                              <w:marLeft w:val="0"/>
                              <w:marRight w:val="0"/>
                              <w:marTop w:val="0"/>
                              <w:marBottom w:val="0"/>
                              <w:divBdr>
                                <w:top w:val="none" w:sz="0" w:space="0" w:color="auto"/>
                                <w:left w:val="none" w:sz="0" w:space="0" w:color="auto"/>
                                <w:bottom w:val="none" w:sz="0" w:space="0" w:color="auto"/>
                                <w:right w:val="none" w:sz="0" w:space="0" w:color="auto"/>
                              </w:divBdr>
                              <w:divsChild>
                                <w:div w:id="695815543">
                                  <w:marLeft w:val="0"/>
                                  <w:marRight w:val="0"/>
                                  <w:marTop w:val="0"/>
                                  <w:marBottom w:val="0"/>
                                  <w:divBdr>
                                    <w:top w:val="none" w:sz="0" w:space="0" w:color="auto"/>
                                    <w:left w:val="none" w:sz="0" w:space="0" w:color="auto"/>
                                    <w:bottom w:val="none" w:sz="0" w:space="0" w:color="auto"/>
                                    <w:right w:val="none" w:sz="0" w:space="0" w:color="auto"/>
                                  </w:divBdr>
                                  <w:divsChild>
                                    <w:div w:id="6337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2988">
                          <w:marLeft w:val="0"/>
                          <w:marRight w:val="0"/>
                          <w:marTop w:val="0"/>
                          <w:marBottom w:val="0"/>
                          <w:divBdr>
                            <w:top w:val="none" w:sz="0" w:space="0" w:color="auto"/>
                            <w:left w:val="none" w:sz="0" w:space="0" w:color="auto"/>
                            <w:bottom w:val="none" w:sz="0" w:space="0" w:color="auto"/>
                            <w:right w:val="none" w:sz="0" w:space="0" w:color="auto"/>
                          </w:divBdr>
                          <w:divsChild>
                            <w:div w:id="654644393">
                              <w:marLeft w:val="0"/>
                              <w:marRight w:val="0"/>
                              <w:marTop w:val="0"/>
                              <w:marBottom w:val="0"/>
                              <w:divBdr>
                                <w:top w:val="none" w:sz="0" w:space="0" w:color="auto"/>
                                <w:left w:val="none" w:sz="0" w:space="0" w:color="auto"/>
                                <w:bottom w:val="none" w:sz="0" w:space="0" w:color="auto"/>
                                <w:right w:val="none" w:sz="0" w:space="0" w:color="auto"/>
                              </w:divBdr>
                              <w:divsChild>
                                <w:div w:id="495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205893">
      <w:bodyDiv w:val="1"/>
      <w:marLeft w:val="0"/>
      <w:marRight w:val="0"/>
      <w:marTop w:val="0"/>
      <w:marBottom w:val="0"/>
      <w:divBdr>
        <w:top w:val="none" w:sz="0" w:space="0" w:color="auto"/>
        <w:left w:val="none" w:sz="0" w:space="0" w:color="auto"/>
        <w:bottom w:val="none" w:sz="0" w:space="0" w:color="auto"/>
        <w:right w:val="none" w:sz="0" w:space="0" w:color="auto"/>
      </w:divBdr>
    </w:div>
    <w:div w:id="933127382">
      <w:bodyDiv w:val="1"/>
      <w:marLeft w:val="0"/>
      <w:marRight w:val="0"/>
      <w:marTop w:val="0"/>
      <w:marBottom w:val="0"/>
      <w:divBdr>
        <w:top w:val="none" w:sz="0" w:space="0" w:color="auto"/>
        <w:left w:val="none" w:sz="0" w:space="0" w:color="auto"/>
        <w:bottom w:val="none" w:sz="0" w:space="0" w:color="auto"/>
        <w:right w:val="none" w:sz="0" w:space="0" w:color="auto"/>
      </w:divBdr>
    </w:div>
    <w:div w:id="933169703">
      <w:bodyDiv w:val="1"/>
      <w:marLeft w:val="0"/>
      <w:marRight w:val="0"/>
      <w:marTop w:val="0"/>
      <w:marBottom w:val="0"/>
      <w:divBdr>
        <w:top w:val="none" w:sz="0" w:space="0" w:color="auto"/>
        <w:left w:val="none" w:sz="0" w:space="0" w:color="auto"/>
        <w:bottom w:val="none" w:sz="0" w:space="0" w:color="auto"/>
        <w:right w:val="none" w:sz="0" w:space="0" w:color="auto"/>
      </w:divBdr>
    </w:div>
    <w:div w:id="1056465078">
      <w:bodyDiv w:val="1"/>
      <w:marLeft w:val="0"/>
      <w:marRight w:val="0"/>
      <w:marTop w:val="0"/>
      <w:marBottom w:val="0"/>
      <w:divBdr>
        <w:top w:val="none" w:sz="0" w:space="0" w:color="auto"/>
        <w:left w:val="none" w:sz="0" w:space="0" w:color="auto"/>
        <w:bottom w:val="none" w:sz="0" w:space="0" w:color="auto"/>
        <w:right w:val="none" w:sz="0" w:space="0" w:color="auto"/>
      </w:divBdr>
    </w:div>
    <w:div w:id="1057317016">
      <w:bodyDiv w:val="1"/>
      <w:marLeft w:val="0"/>
      <w:marRight w:val="0"/>
      <w:marTop w:val="0"/>
      <w:marBottom w:val="0"/>
      <w:divBdr>
        <w:top w:val="none" w:sz="0" w:space="0" w:color="auto"/>
        <w:left w:val="none" w:sz="0" w:space="0" w:color="auto"/>
        <w:bottom w:val="none" w:sz="0" w:space="0" w:color="auto"/>
        <w:right w:val="none" w:sz="0" w:space="0" w:color="auto"/>
      </w:divBdr>
    </w:div>
    <w:div w:id="1235164310">
      <w:bodyDiv w:val="1"/>
      <w:marLeft w:val="0"/>
      <w:marRight w:val="0"/>
      <w:marTop w:val="0"/>
      <w:marBottom w:val="0"/>
      <w:divBdr>
        <w:top w:val="none" w:sz="0" w:space="0" w:color="auto"/>
        <w:left w:val="none" w:sz="0" w:space="0" w:color="auto"/>
        <w:bottom w:val="none" w:sz="0" w:space="0" w:color="auto"/>
        <w:right w:val="none" w:sz="0" w:space="0" w:color="auto"/>
      </w:divBdr>
    </w:div>
    <w:div w:id="1390112113">
      <w:bodyDiv w:val="1"/>
      <w:marLeft w:val="0"/>
      <w:marRight w:val="0"/>
      <w:marTop w:val="0"/>
      <w:marBottom w:val="0"/>
      <w:divBdr>
        <w:top w:val="none" w:sz="0" w:space="0" w:color="auto"/>
        <w:left w:val="none" w:sz="0" w:space="0" w:color="auto"/>
        <w:bottom w:val="none" w:sz="0" w:space="0" w:color="auto"/>
        <w:right w:val="none" w:sz="0" w:space="0" w:color="auto"/>
      </w:divBdr>
      <w:divsChild>
        <w:div w:id="1673408134">
          <w:marLeft w:val="0"/>
          <w:marRight w:val="0"/>
          <w:marTop w:val="0"/>
          <w:marBottom w:val="0"/>
          <w:divBdr>
            <w:top w:val="none" w:sz="0" w:space="0" w:color="auto"/>
            <w:left w:val="none" w:sz="0" w:space="0" w:color="auto"/>
            <w:bottom w:val="none" w:sz="0" w:space="0" w:color="auto"/>
            <w:right w:val="none" w:sz="0" w:space="0" w:color="auto"/>
          </w:divBdr>
          <w:divsChild>
            <w:div w:id="1071848592">
              <w:marLeft w:val="0"/>
              <w:marRight w:val="0"/>
              <w:marTop w:val="0"/>
              <w:marBottom w:val="0"/>
              <w:divBdr>
                <w:top w:val="none" w:sz="0" w:space="0" w:color="auto"/>
                <w:left w:val="none" w:sz="0" w:space="0" w:color="auto"/>
                <w:bottom w:val="none" w:sz="0" w:space="0" w:color="auto"/>
                <w:right w:val="none" w:sz="0" w:space="0" w:color="auto"/>
              </w:divBdr>
              <w:divsChild>
                <w:div w:id="1974754579">
                  <w:marLeft w:val="0"/>
                  <w:marRight w:val="0"/>
                  <w:marTop w:val="0"/>
                  <w:marBottom w:val="0"/>
                  <w:divBdr>
                    <w:top w:val="none" w:sz="0" w:space="0" w:color="auto"/>
                    <w:left w:val="none" w:sz="0" w:space="0" w:color="auto"/>
                    <w:bottom w:val="none" w:sz="0" w:space="0" w:color="auto"/>
                    <w:right w:val="none" w:sz="0" w:space="0" w:color="auto"/>
                  </w:divBdr>
                  <w:divsChild>
                    <w:div w:id="145586000">
                      <w:marLeft w:val="0"/>
                      <w:marRight w:val="0"/>
                      <w:marTop w:val="0"/>
                      <w:marBottom w:val="0"/>
                      <w:divBdr>
                        <w:top w:val="none" w:sz="0" w:space="0" w:color="auto"/>
                        <w:left w:val="none" w:sz="0" w:space="0" w:color="auto"/>
                        <w:bottom w:val="none" w:sz="0" w:space="0" w:color="auto"/>
                        <w:right w:val="none" w:sz="0" w:space="0" w:color="auto"/>
                      </w:divBdr>
                      <w:divsChild>
                        <w:div w:id="1629313733">
                          <w:marLeft w:val="0"/>
                          <w:marRight w:val="0"/>
                          <w:marTop w:val="0"/>
                          <w:marBottom w:val="0"/>
                          <w:divBdr>
                            <w:top w:val="none" w:sz="0" w:space="0" w:color="auto"/>
                            <w:left w:val="none" w:sz="0" w:space="0" w:color="auto"/>
                            <w:bottom w:val="none" w:sz="0" w:space="0" w:color="auto"/>
                            <w:right w:val="none" w:sz="0" w:space="0" w:color="auto"/>
                          </w:divBdr>
                          <w:divsChild>
                            <w:div w:id="1883323675">
                              <w:marLeft w:val="0"/>
                              <w:marRight w:val="0"/>
                              <w:marTop w:val="0"/>
                              <w:marBottom w:val="0"/>
                              <w:divBdr>
                                <w:top w:val="none" w:sz="0" w:space="0" w:color="auto"/>
                                <w:left w:val="none" w:sz="0" w:space="0" w:color="auto"/>
                                <w:bottom w:val="none" w:sz="0" w:space="0" w:color="auto"/>
                                <w:right w:val="none" w:sz="0" w:space="0" w:color="auto"/>
                              </w:divBdr>
                              <w:divsChild>
                                <w:div w:id="35476115">
                                  <w:marLeft w:val="0"/>
                                  <w:marRight w:val="0"/>
                                  <w:marTop w:val="0"/>
                                  <w:marBottom w:val="0"/>
                                  <w:divBdr>
                                    <w:top w:val="none" w:sz="0" w:space="0" w:color="auto"/>
                                    <w:left w:val="none" w:sz="0" w:space="0" w:color="auto"/>
                                    <w:bottom w:val="none" w:sz="0" w:space="0" w:color="auto"/>
                                    <w:right w:val="none" w:sz="0" w:space="0" w:color="auto"/>
                                  </w:divBdr>
                                  <w:divsChild>
                                    <w:div w:id="20204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5420">
                          <w:marLeft w:val="0"/>
                          <w:marRight w:val="0"/>
                          <w:marTop w:val="0"/>
                          <w:marBottom w:val="0"/>
                          <w:divBdr>
                            <w:top w:val="none" w:sz="0" w:space="0" w:color="auto"/>
                            <w:left w:val="none" w:sz="0" w:space="0" w:color="auto"/>
                            <w:bottom w:val="none" w:sz="0" w:space="0" w:color="auto"/>
                            <w:right w:val="none" w:sz="0" w:space="0" w:color="auto"/>
                          </w:divBdr>
                          <w:divsChild>
                            <w:div w:id="203256706">
                              <w:marLeft w:val="0"/>
                              <w:marRight w:val="0"/>
                              <w:marTop w:val="0"/>
                              <w:marBottom w:val="0"/>
                              <w:divBdr>
                                <w:top w:val="none" w:sz="0" w:space="0" w:color="auto"/>
                                <w:left w:val="none" w:sz="0" w:space="0" w:color="auto"/>
                                <w:bottom w:val="none" w:sz="0" w:space="0" w:color="auto"/>
                                <w:right w:val="none" w:sz="0" w:space="0" w:color="auto"/>
                              </w:divBdr>
                              <w:divsChild>
                                <w:div w:id="15428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6060">
      <w:bodyDiv w:val="1"/>
      <w:marLeft w:val="0"/>
      <w:marRight w:val="0"/>
      <w:marTop w:val="0"/>
      <w:marBottom w:val="0"/>
      <w:divBdr>
        <w:top w:val="none" w:sz="0" w:space="0" w:color="auto"/>
        <w:left w:val="none" w:sz="0" w:space="0" w:color="auto"/>
        <w:bottom w:val="none" w:sz="0" w:space="0" w:color="auto"/>
        <w:right w:val="none" w:sz="0" w:space="0" w:color="auto"/>
      </w:divBdr>
      <w:divsChild>
        <w:div w:id="32770618">
          <w:marLeft w:val="0"/>
          <w:marRight w:val="0"/>
          <w:marTop w:val="0"/>
          <w:marBottom w:val="0"/>
          <w:divBdr>
            <w:top w:val="none" w:sz="0" w:space="0" w:color="auto"/>
            <w:left w:val="none" w:sz="0" w:space="0" w:color="auto"/>
            <w:bottom w:val="none" w:sz="0" w:space="0" w:color="auto"/>
            <w:right w:val="none" w:sz="0" w:space="0" w:color="auto"/>
          </w:divBdr>
          <w:divsChild>
            <w:div w:id="2061708811">
              <w:marLeft w:val="0"/>
              <w:marRight w:val="0"/>
              <w:marTop w:val="0"/>
              <w:marBottom w:val="0"/>
              <w:divBdr>
                <w:top w:val="none" w:sz="0" w:space="0" w:color="auto"/>
                <w:left w:val="none" w:sz="0" w:space="0" w:color="auto"/>
                <w:bottom w:val="none" w:sz="0" w:space="0" w:color="auto"/>
                <w:right w:val="none" w:sz="0" w:space="0" w:color="auto"/>
              </w:divBdr>
              <w:divsChild>
                <w:div w:id="88933076">
                  <w:marLeft w:val="0"/>
                  <w:marRight w:val="0"/>
                  <w:marTop w:val="0"/>
                  <w:marBottom w:val="0"/>
                  <w:divBdr>
                    <w:top w:val="none" w:sz="0" w:space="0" w:color="auto"/>
                    <w:left w:val="none" w:sz="0" w:space="0" w:color="auto"/>
                    <w:bottom w:val="none" w:sz="0" w:space="0" w:color="auto"/>
                    <w:right w:val="none" w:sz="0" w:space="0" w:color="auto"/>
                  </w:divBdr>
                  <w:divsChild>
                    <w:div w:id="2132699153">
                      <w:marLeft w:val="0"/>
                      <w:marRight w:val="0"/>
                      <w:marTop w:val="0"/>
                      <w:marBottom w:val="0"/>
                      <w:divBdr>
                        <w:top w:val="none" w:sz="0" w:space="0" w:color="auto"/>
                        <w:left w:val="none" w:sz="0" w:space="0" w:color="auto"/>
                        <w:bottom w:val="none" w:sz="0" w:space="0" w:color="auto"/>
                        <w:right w:val="none" w:sz="0" w:space="0" w:color="auto"/>
                      </w:divBdr>
                      <w:divsChild>
                        <w:div w:id="1399091437">
                          <w:marLeft w:val="0"/>
                          <w:marRight w:val="0"/>
                          <w:marTop w:val="0"/>
                          <w:marBottom w:val="0"/>
                          <w:divBdr>
                            <w:top w:val="none" w:sz="0" w:space="0" w:color="auto"/>
                            <w:left w:val="none" w:sz="0" w:space="0" w:color="auto"/>
                            <w:bottom w:val="none" w:sz="0" w:space="0" w:color="auto"/>
                            <w:right w:val="none" w:sz="0" w:space="0" w:color="auto"/>
                          </w:divBdr>
                          <w:divsChild>
                            <w:div w:id="1201361177">
                              <w:marLeft w:val="0"/>
                              <w:marRight w:val="0"/>
                              <w:marTop w:val="0"/>
                              <w:marBottom w:val="0"/>
                              <w:divBdr>
                                <w:top w:val="none" w:sz="0" w:space="0" w:color="auto"/>
                                <w:left w:val="none" w:sz="0" w:space="0" w:color="auto"/>
                                <w:bottom w:val="none" w:sz="0" w:space="0" w:color="auto"/>
                                <w:right w:val="none" w:sz="0" w:space="0" w:color="auto"/>
                              </w:divBdr>
                              <w:divsChild>
                                <w:div w:id="687172254">
                                  <w:marLeft w:val="0"/>
                                  <w:marRight w:val="0"/>
                                  <w:marTop w:val="0"/>
                                  <w:marBottom w:val="0"/>
                                  <w:divBdr>
                                    <w:top w:val="none" w:sz="0" w:space="0" w:color="auto"/>
                                    <w:left w:val="none" w:sz="0" w:space="0" w:color="auto"/>
                                    <w:bottom w:val="none" w:sz="0" w:space="0" w:color="auto"/>
                                    <w:right w:val="none" w:sz="0" w:space="0" w:color="auto"/>
                                  </w:divBdr>
                                  <w:divsChild>
                                    <w:div w:id="8057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1846">
                          <w:marLeft w:val="0"/>
                          <w:marRight w:val="0"/>
                          <w:marTop w:val="0"/>
                          <w:marBottom w:val="0"/>
                          <w:divBdr>
                            <w:top w:val="none" w:sz="0" w:space="0" w:color="auto"/>
                            <w:left w:val="none" w:sz="0" w:space="0" w:color="auto"/>
                            <w:bottom w:val="none" w:sz="0" w:space="0" w:color="auto"/>
                            <w:right w:val="none" w:sz="0" w:space="0" w:color="auto"/>
                          </w:divBdr>
                          <w:divsChild>
                            <w:div w:id="1323506371">
                              <w:marLeft w:val="0"/>
                              <w:marRight w:val="0"/>
                              <w:marTop w:val="0"/>
                              <w:marBottom w:val="0"/>
                              <w:divBdr>
                                <w:top w:val="none" w:sz="0" w:space="0" w:color="auto"/>
                                <w:left w:val="none" w:sz="0" w:space="0" w:color="auto"/>
                                <w:bottom w:val="none" w:sz="0" w:space="0" w:color="auto"/>
                                <w:right w:val="none" w:sz="0" w:space="0" w:color="auto"/>
                              </w:divBdr>
                              <w:divsChild>
                                <w:div w:id="15147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296876">
      <w:bodyDiv w:val="1"/>
      <w:marLeft w:val="0"/>
      <w:marRight w:val="0"/>
      <w:marTop w:val="0"/>
      <w:marBottom w:val="0"/>
      <w:divBdr>
        <w:top w:val="none" w:sz="0" w:space="0" w:color="auto"/>
        <w:left w:val="none" w:sz="0" w:space="0" w:color="auto"/>
        <w:bottom w:val="none" w:sz="0" w:space="0" w:color="auto"/>
        <w:right w:val="none" w:sz="0" w:space="0" w:color="auto"/>
      </w:divBdr>
    </w:div>
    <w:div w:id="1534003363">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2119787579">
          <w:marLeft w:val="0"/>
          <w:marRight w:val="0"/>
          <w:marTop w:val="0"/>
          <w:marBottom w:val="0"/>
          <w:divBdr>
            <w:top w:val="none" w:sz="0" w:space="0" w:color="auto"/>
            <w:left w:val="none" w:sz="0" w:space="0" w:color="auto"/>
            <w:bottom w:val="none" w:sz="0" w:space="0" w:color="auto"/>
            <w:right w:val="none" w:sz="0" w:space="0" w:color="auto"/>
          </w:divBdr>
          <w:divsChild>
            <w:div w:id="857548109">
              <w:marLeft w:val="0"/>
              <w:marRight w:val="0"/>
              <w:marTop w:val="0"/>
              <w:marBottom w:val="0"/>
              <w:divBdr>
                <w:top w:val="none" w:sz="0" w:space="0" w:color="auto"/>
                <w:left w:val="none" w:sz="0" w:space="0" w:color="auto"/>
                <w:bottom w:val="none" w:sz="0" w:space="0" w:color="auto"/>
                <w:right w:val="none" w:sz="0" w:space="0" w:color="auto"/>
              </w:divBdr>
              <w:divsChild>
                <w:div w:id="749539944">
                  <w:marLeft w:val="0"/>
                  <w:marRight w:val="0"/>
                  <w:marTop w:val="0"/>
                  <w:marBottom w:val="0"/>
                  <w:divBdr>
                    <w:top w:val="none" w:sz="0" w:space="0" w:color="auto"/>
                    <w:left w:val="none" w:sz="0" w:space="0" w:color="auto"/>
                    <w:bottom w:val="none" w:sz="0" w:space="0" w:color="auto"/>
                    <w:right w:val="none" w:sz="0" w:space="0" w:color="auto"/>
                  </w:divBdr>
                  <w:divsChild>
                    <w:div w:id="694693238">
                      <w:marLeft w:val="0"/>
                      <w:marRight w:val="0"/>
                      <w:marTop w:val="0"/>
                      <w:marBottom w:val="0"/>
                      <w:divBdr>
                        <w:top w:val="none" w:sz="0" w:space="0" w:color="auto"/>
                        <w:left w:val="none" w:sz="0" w:space="0" w:color="auto"/>
                        <w:bottom w:val="none" w:sz="0" w:space="0" w:color="auto"/>
                        <w:right w:val="none" w:sz="0" w:space="0" w:color="auto"/>
                      </w:divBdr>
                      <w:divsChild>
                        <w:div w:id="412972508">
                          <w:marLeft w:val="0"/>
                          <w:marRight w:val="0"/>
                          <w:marTop w:val="0"/>
                          <w:marBottom w:val="0"/>
                          <w:divBdr>
                            <w:top w:val="none" w:sz="0" w:space="0" w:color="auto"/>
                            <w:left w:val="none" w:sz="0" w:space="0" w:color="auto"/>
                            <w:bottom w:val="none" w:sz="0" w:space="0" w:color="auto"/>
                            <w:right w:val="none" w:sz="0" w:space="0" w:color="auto"/>
                          </w:divBdr>
                          <w:divsChild>
                            <w:div w:id="512257529">
                              <w:marLeft w:val="0"/>
                              <w:marRight w:val="0"/>
                              <w:marTop w:val="0"/>
                              <w:marBottom w:val="0"/>
                              <w:divBdr>
                                <w:top w:val="none" w:sz="0" w:space="0" w:color="auto"/>
                                <w:left w:val="none" w:sz="0" w:space="0" w:color="auto"/>
                                <w:bottom w:val="none" w:sz="0" w:space="0" w:color="auto"/>
                                <w:right w:val="none" w:sz="0" w:space="0" w:color="auto"/>
                              </w:divBdr>
                              <w:divsChild>
                                <w:div w:id="1217814042">
                                  <w:marLeft w:val="0"/>
                                  <w:marRight w:val="0"/>
                                  <w:marTop w:val="0"/>
                                  <w:marBottom w:val="0"/>
                                  <w:divBdr>
                                    <w:top w:val="none" w:sz="0" w:space="0" w:color="auto"/>
                                    <w:left w:val="none" w:sz="0" w:space="0" w:color="auto"/>
                                    <w:bottom w:val="none" w:sz="0" w:space="0" w:color="auto"/>
                                    <w:right w:val="none" w:sz="0" w:space="0" w:color="auto"/>
                                  </w:divBdr>
                                  <w:divsChild>
                                    <w:div w:id="16934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3774">
                          <w:marLeft w:val="0"/>
                          <w:marRight w:val="0"/>
                          <w:marTop w:val="0"/>
                          <w:marBottom w:val="0"/>
                          <w:divBdr>
                            <w:top w:val="none" w:sz="0" w:space="0" w:color="auto"/>
                            <w:left w:val="none" w:sz="0" w:space="0" w:color="auto"/>
                            <w:bottom w:val="none" w:sz="0" w:space="0" w:color="auto"/>
                            <w:right w:val="none" w:sz="0" w:space="0" w:color="auto"/>
                          </w:divBdr>
                          <w:divsChild>
                            <w:div w:id="699012518">
                              <w:marLeft w:val="0"/>
                              <w:marRight w:val="0"/>
                              <w:marTop w:val="0"/>
                              <w:marBottom w:val="0"/>
                              <w:divBdr>
                                <w:top w:val="none" w:sz="0" w:space="0" w:color="auto"/>
                                <w:left w:val="none" w:sz="0" w:space="0" w:color="auto"/>
                                <w:bottom w:val="none" w:sz="0" w:space="0" w:color="auto"/>
                                <w:right w:val="none" w:sz="0" w:space="0" w:color="auto"/>
                              </w:divBdr>
                              <w:divsChild>
                                <w:div w:id="6828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hatgpt://generic-entity?number=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3073</Words>
  <Characters>18871</Characters>
  <Application>Microsoft Office Word</Application>
  <DocSecurity>0</DocSecurity>
  <Lines>325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Kaliyeva</dc:creator>
  <cp:keywords/>
  <dc:description/>
  <cp:lastModifiedBy>Dinara Kaliyeva</cp:lastModifiedBy>
  <cp:revision>35</cp:revision>
  <dcterms:created xsi:type="dcterms:W3CDTF">2026-02-25T05:17:00Z</dcterms:created>
  <dcterms:modified xsi:type="dcterms:W3CDTF">2026-05-08T10:45:00Z</dcterms:modified>
</cp:coreProperties>
</file>